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06" w:rsidRPr="006E4894" w:rsidRDefault="00377B06" w:rsidP="003553A6">
      <w:pPr>
        <w:spacing w:after="0"/>
        <w:rPr>
          <w:rFonts w:cs="Calibri"/>
        </w:rPr>
      </w:pPr>
    </w:p>
    <w:p w:rsidR="00D94F6C" w:rsidRPr="006E4894" w:rsidRDefault="00D94F6C" w:rsidP="003553A6">
      <w:pPr>
        <w:tabs>
          <w:tab w:val="left" w:pos="2295"/>
        </w:tabs>
        <w:spacing w:after="0"/>
        <w:rPr>
          <w:rFonts w:cs="Calibri"/>
          <w:b/>
        </w:rPr>
      </w:pPr>
      <w:r w:rsidRPr="006E4894">
        <w:rPr>
          <w:rFonts w:cs="Calibri"/>
          <w:b/>
        </w:rPr>
        <w:t>Mark Scheme:</w:t>
      </w:r>
    </w:p>
    <w:p w:rsidR="00D94F6C" w:rsidRPr="006E4894" w:rsidRDefault="00D94F6C" w:rsidP="003553A6">
      <w:pPr>
        <w:tabs>
          <w:tab w:val="left" w:pos="2295"/>
        </w:tabs>
        <w:spacing w:after="0"/>
        <w:rPr>
          <w:rFonts w:cs="Calibri"/>
        </w:rPr>
      </w:pPr>
      <w:r w:rsidRPr="006E4894">
        <w:rPr>
          <w:rFonts w:cs="Calibri"/>
        </w:rPr>
        <w:t>The following mark scheme will be used to grade any free response questions</w:t>
      </w:r>
      <w:r w:rsidR="00E4481A" w:rsidRPr="006E4894">
        <w:rPr>
          <w:rFonts w:cs="Calibri"/>
        </w:rPr>
        <w:t xml:space="preserve"> or document based questions</w:t>
      </w:r>
      <w:r w:rsidRPr="006E4894">
        <w:rPr>
          <w:rFonts w:cs="Calibri"/>
        </w:rPr>
        <w:t xml:space="preserve"> that are assigned both inside and outside of class.  </w:t>
      </w:r>
      <w:r w:rsidR="00D73458" w:rsidRPr="006E4894">
        <w:rPr>
          <w:rFonts w:cs="Calibri"/>
        </w:rPr>
        <w:t xml:space="preserve">This same scheme can be found on the IBO website and referenced at any time.  </w:t>
      </w:r>
    </w:p>
    <w:p w:rsidR="00D73458" w:rsidRPr="006E4894" w:rsidRDefault="00D73458" w:rsidP="003553A6">
      <w:pPr>
        <w:tabs>
          <w:tab w:val="left" w:pos="2295"/>
        </w:tabs>
        <w:spacing w:after="0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7169"/>
        <w:gridCol w:w="2988"/>
      </w:tblGrid>
      <w:tr w:rsidR="00D94F6C" w:rsidRPr="00880081" w:rsidTr="006A13C2">
        <w:tc>
          <w:tcPr>
            <w:tcW w:w="10908" w:type="dxa"/>
            <w:gridSpan w:val="3"/>
            <w:shd w:val="clear" w:color="auto" w:fill="auto"/>
          </w:tcPr>
          <w:p w:rsidR="00D94F6C" w:rsidRPr="00880081" w:rsidRDefault="00D94F6C" w:rsidP="006A13C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/>
                <w:sz w:val="18"/>
                <w:szCs w:val="18"/>
              </w:rPr>
              <w:t>Paper 3, 20-point rubric, Three questions, 150 minutes, 35% of your IB HOA score</w:t>
            </w:r>
          </w:p>
        </w:tc>
      </w:tr>
      <w:tr w:rsidR="00D94F6C" w:rsidRPr="00880081" w:rsidTr="006A13C2">
        <w:trPr>
          <w:trHeight w:val="458"/>
        </w:trPr>
        <w:tc>
          <w:tcPr>
            <w:tcW w:w="751" w:type="dxa"/>
            <w:shd w:val="clear" w:color="auto" w:fill="auto"/>
          </w:tcPr>
          <w:p w:rsidR="00D94F6C" w:rsidRPr="00880081" w:rsidRDefault="00D94F6C" w:rsidP="006A13C2">
            <w:pPr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/>
                <w:sz w:val="18"/>
                <w:szCs w:val="18"/>
              </w:rPr>
              <w:t>Marks</w:t>
            </w:r>
          </w:p>
        </w:tc>
        <w:tc>
          <w:tcPr>
            <w:tcW w:w="7169" w:type="dxa"/>
            <w:shd w:val="clear" w:color="auto" w:fill="auto"/>
          </w:tcPr>
          <w:p w:rsidR="00D94F6C" w:rsidRPr="00880081" w:rsidRDefault="00D94F6C" w:rsidP="006A13C2">
            <w:pPr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/>
                <w:sz w:val="18"/>
                <w:szCs w:val="18"/>
              </w:rPr>
              <w:t>Level Descriptor</w:t>
            </w:r>
          </w:p>
        </w:tc>
        <w:tc>
          <w:tcPr>
            <w:tcW w:w="2988" w:type="dxa"/>
            <w:shd w:val="clear" w:color="auto" w:fill="auto"/>
          </w:tcPr>
          <w:p w:rsidR="00D94F6C" w:rsidRPr="00880081" w:rsidRDefault="00D94F6C" w:rsidP="006A13C2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/>
                <w:sz w:val="18"/>
                <w:szCs w:val="18"/>
              </w:rPr>
              <w:t>Assessment Objective and Mark Range</w:t>
            </w:r>
          </w:p>
        </w:tc>
      </w:tr>
      <w:tr w:rsidR="00D94F6C" w:rsidRPr="00880081" w:rsidTr="006A13C2">
        <w:tc>
          <w:tcPr>
            <w:tcW w:w="751" w:type="dxa"/>
            <w:shd w:val="clear" w:color="auto" w:fill="auto"/>
          </w:tcPr>
          <w:p w:rsidR="00D94F6C" w:rsidRPr="00880081" w:rsidRDefault="00D94F6C" w:rsidP="006A13C2">
            <w:pPr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/>
                <w:sz w:val="18"/>
                <w:szCs w:val="18"/>
              </w:rPr>
              <w:t>18-20</w:t>
            </w:r>
          </w:p>
        </w:tc>
        <w:tc>
          <w:tcPr>
            <w:tcW w:w="7169" w:type="dxa"/>
            <w:shd w:val="clear" w:color="auto" w:fill="auto"/>
          </w:tcPr>
          <w:p w:rsidR="00D94F6C" w:rsidRPr="00880081" w:rsidRDefault="00D94F6C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 w:cs="Symbol"/>
                <w:sz w:val="18"/>
                <w:szCs w:val="18"/>
              </w:rPr>
              <w:t xml:space="preserve">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>Answers are clearly focused responses, showing a high degree of awareness of the demands of the question. Where appropriate, answers may challenge the question successfully.</w:t>
            </w:r>
          </w:p>
          <w:p w:rsidR="00D94F6C" w:rsidRPr="00880081" w:rsidRDefault="00D94F6C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 w:cs="Symbol"/>
                <w:sz w:val="18"/>
                <w:szCs w:val="18"/>
              </w:rPr>
              <w:t xml:space="preserve">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 xml:space="preserve">In-depth and accurate historical knowledge is applied consistently and convincingly to support critical commentary. </w:t>
            </w:r>
            <w:r w:rsidRPr="00880081">
              <w:rPr>
                <w:rFonts w:asciiTheme="minorHAnsi" w:hAnsiTheme="minorHAnsi"/>
                <w:iCs/>
                <w:sz w:val="18"/>
                <w:szCs w:val="18"/>
              </w:rPr>
              <w:t>In addition, answers may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80081">
              <w:rPr>
                <w:rFonts w:asciiTheme="minorHAnsi" w:hAnsiTheme="minorHAnsi"/>
                <w:iCs/>
                <w:sz w:val="18"/>
                <w:szCs w:val="18"/>
              </w:rPr>
              <w:t>reveal a high level of conceptual ability.</w:t>
            </w:r>
          </w:p>
          <w:p w:rsidR="00D94F6C" w:rsidRPr="00880081" w:rsidRDefault="00D94F6C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 w:cs="Symbol"/>
                <w:sz w:val="18"/>
                <w:szCs w:val="18"/>
              </w:rPr>
              <w:t xml:space="preserve">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>Events are placed in their historical context. There is a clear understanding of historical processes and (where appropriate) comparison and contrast.</w:t>
            </w:r>
          </w:p>
          <w:p w:rsidR="00D94F6C" w:rsidRPr="00880081" w:rsidRDefault="00D94F6C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 w:cs="Symbol"/>
                <w:sz w:val="18"/>
                <w:szCs w:val="18"/>
              </w:rPr>
              <w:t xml:space="preserve">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 xml:space="preserve">There may be evaluation of different approaches to, and interpretations of, historical issues and events. This evaluation is integrated effectively into the answer to support and supplement the argument. </w:t>
            </w:r>
            <w:r w:rsidRPr="00880081">
              <w:rPr>
                <w:rFonts w:asciiTheme="minorHAnsi" w:hAnsiTheme="minorHAnsi"/>
                <w:iCs/>
                <w:sz w:val="18"/>
                <w:szCs w:val="18"/>
              </w:rPr>
              <w:t>In addition, an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80081">
              <w:rPr>
                <w:rFonts w:asciiTheme="minorHAnsi" w:hAnsiTheme="minorHAnsi"/>
                <w:iCs/>
                <w:sz w:val="18"/>
                <w:szCs w:val="18"/>
              </w:rPr>
              <w:t>awareness of the reasons for circumstances that produced differing and often conflicting historical interpretations is present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D94F6C" w:rsidRPr="00880081" w:rsidRDefault="00D94F6C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 w:cs="Symbol"/>
                <w:sz w:val="18"/>
                <w:szCs w:val="18"/>
              </w:rPr>
              <w:t xml:space="preserve">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 xml:space="preserve">Answers are well structured and clearly expressed, using evidence to support relevant, balanced and well-focused arguments. </w:t>
            </w:r>
            <w:r w:rsidRPr="00880081">
              <w:rPr>
                <w:rFonts w:asciiTheme="minorHAnsi" w:hAnsiTheme="minorHAnsi"/>
                <w:iCs/>
                <w:sz w:val="18"/>
                <w:szCs w:val="18"/>
              </w:rPr>
              <w:t>Synthesis is highly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80081">
              <w:rPr>
                <w:rFonts w:asciiTheme="minorHAnsi" w:hAnsiTheme="minorHAnsi"/>
                <w:iCs/>
                <w:sz w:val="18"/>
                <w:szCs w:val="18"/>
              </w:rPr>
              <w:t>developed, with knowledge and critical commentary fully and effectively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880081">
              <w:rPr>
                <w:rFonts w:asciiTheme="minorHAnsi" w:hAnsiTheme="minorHAnsi"/>
                <w:iCs/>
                <w:sz w:val="18"/>
                <w:szCs w:val="18"/>
              </w:rPr>
              <w:t>integrated.</w:t>
            </w:r>
          </w:p>
        </w:tc>
        <w:tc>
          <w:tcPr>
            <w:tcW w:w="2988" w:type="dxa"/>
            <w:shd w:val="clear" w:color="auto" w:fill="auto"/>
          </w:tcPr>
          <w:p w:rsidR="00D94F6C" w:rsidRPr="00880081" w:rsidRDefault="00D94F6C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/>
                <w:sz w:val="18"/>
                <w:szCs w:val="18"/>
              </w:rPr>
              <w:t>Top mark range:</w:t>
            </w:r>
          </w:p>
          <w:p w:rsidR="00D94F6C" w:rsidRPr="00880081" w:rsidRDefault="00D94F6C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/>
                <w:sz w:val="18"/>
                <w:szCs w:val="18"/>
              </w:rPr>
              <w:t>In addition to the objectives for the upper mark range, this level demonstrates at least one of the additional qualities outlined in italics.</w:t>
            </w:r>
          </w:p>
        </w:tc>
      </w:tr>
      <w:tr w:rsidR="00D94F6C" w:rsidRPr="00880081" w:rsidTr="006A13C2">
        <w:tc>
          <w:tcPr>
            <w:tcW w:w="751" w:type="dxa"/>
            <w:shd w:val="clear" w:color="auto" w:fill="auto"/>
          </w:tcPr>
          <w:p w:rsidR="00D94F6C" w:rsidRPr="00880081" w:rsidRDefault="00D94F6C" w:rsidP="006A13C2">
            <w:pPr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/>
                <w:sz w:val="18"/>
                <w:szCs w:val="18"/>
              </w:rPr>
              <w:t>15-17</w:t>
            </w:r>
          </w:p>
        </w:tc>
        <w:tc>
          <w:tcPr>
            <w:tcW w:w="7169" w:type="dxa"/>
            <w:shd w:val="clear" w:color="auto" w:fill="auto"/>
          </w:tcPr>
          <w:p w:rsidR="00D94F6C" w:rsidRPr="00880081" w:rsidRDefault="00D94F6C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 w:cs="Symbol"/>
                <w:sz w:val="18"/>
                <w:szCs w:val="18"/>
              </w:rPr>
              <w:t xml:space="preserve">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>Answers are clearly focused responses, showing a high degree of awareness of the demands of the question. Where appropriate, answers may challenge the question successfully.</w:t>
            </w:r>
          </w:p>
          <w:p w:rsidR="00D94F6C" w:rsidRPr="00880081" w:rsidRDefault="00D94F6C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 w:cs="Symbol"/>
                <w:sz w:val="18"/>
                <w:szCs w:val="18"/>
              </w:rPr>
              <w:t xml:space="preserve">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>In-depth and accurate historical knowledge is applied consistently and convincingly to support critical commentary.</w:t>
            </w:r>
          </w:p>
          <w:p w:rsidR="00D94F6C" w:rsidRPr="00880081" w:rsidRDefault="00D94F6C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 w:cs="Symbol"/>
                <w:sz w:val="18"/>
                <w:szCs w:val="18"/>
              </w:rPr>
              <w:t xml:space="preserve">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>Events are placed in their historical context. There is a clear understanding of historical processes and (where appropriate) comparison and contrast.</w:t>
            </w:r>
          </w:p>
          <w:p w:rsidR="00D94F6C" w:rsidRPr="00880081" w:rsidRDefault="00D94F6C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 w:cs="Symbol"/>
                <w:sz w:val="18"/>
                <w:szCs w:val="18"/>
              </w:rPr>
              <w:t xml:space="preserve">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>There may be evaluation of different approaches to, and interpretations of, historical issues and events. This evaluation is integrated effectively into the answer to support and supplement the argument.</w:t>
            </w:r>
          </w:p>
          <w:p w:rsidR="00D94F6C" w:rsidRPr="00880081" w:rsidRDefault="00D94F6C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 w:cs="Symbol"/>
                <w:sz w:val="18"/>
                <w:szCs w:val="18"/>
              </w:rPr>
              <w:t xml:space="preserve">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>Answers are well structured and clearly expressed, using evidence to support relevant, balanced and focused arguments. Synthesis is well developed, with knowledge and critical commentary fully and effectively integrated.</w:t>
            </w:r>
          </w:p>
        </w:tc>
        <w:tc>
          <w:tcPr>
            <w:tcW w:w="2988" w:type="dxa"/>
            <w:vMerge w:val="restart"/>
            <w:shd w:val="clear" w:color="auto" w:fill="auto"/>
          </w:tcPr>
          <w:p w:rsidR="00D94F6C" w:rsidRPr="00880081" w:rsidRDefault="00D94F6C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/>
                <w:sz w:val="18"/>
                <w:szCs w:val="18"/>
              </w:rPr>
              <w:t>Upper mark range:</w:t>
            </w:r>
          </w:p>
          <w:p w:rsidR="00D94F6C" w:rsidRPr="00880081" w:rsidRDefault="00D94F6C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/>
                <w:sz w:val="18"/>
                <w:szCs w:val="18"/>
              </w:rPr>
              <w:t>In addition to the objectives for the middle mark range, this level also reaches the following objectives.</w:t>
            </w:r>
          </w:p>
          <w:p w:rsidR="00D94F6C" w:rsidRPr="00880081" w:rsidRDefault="00D94F6C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/>
                <w:sz w:val="18"/>
                <w:szCs w:val="18"/>
              </w:rPr>
              <w:t>Assessment objective 3: Synthesis and evaluation</w:t>
            </w:r>
          </w:p>
          <w:p w:rsidR="00D94F6C" w:rsidRPr="00880081" w:rsidRDefault="00D94F6C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 w:cs="Symbol"/>
                <w:sz w:val="18"/>
                <w:szCs w:val="18"/>
              </w:rPr>
              <w:t xml:space="preserve">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>Evaluate different approaches to, and interpretations of, historical issues and events</w:t>
            </w:r>
          </w:p>
          <w:p w:rsidR="00D94F6C" w:rsidRPr="00880081" w:rsidRDefault="00D94F6C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 w:cs="Symbol"/>
                <w:sz w:val="18"/>
                <w:szCs w:val="18"/>
              </w:rPr>
              <w:t xml:space="preserve">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>Develop critical commentary using the evidence base</w:t>
            </w:r>
          </w:p>
          <w:p w:rsidR="00D94F6C" w:rsidRPr="00880081" w:rsidRDefault="00D94F6C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 w:cs="Symbol"/>
                <w:sz w:val="18"/>
                <w:szCs w:val="18"/>
              </w:rPr>
              <w:t xml:space="preserve">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>Synthesize by integrating evidence and critical commentary</w:t>
            </w:r>
          </w:p>
          <w:p w:rsidR="00D94F6C" w:rsidRPr="00880081" w:rsidRDefault="00D94F6C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/>
                <w:sz w:val="18"/>
                <w:szCs w:val="18"/>
              </w:rPr>
              <w:t>Assessment objective 4: Use of historical skills</w:t>
            </w:r>
          </w:p>
          <w:p w:rsidR="00D94F6C" w:rsidRPr="00880081" w:rsidRDefault="00D94F6C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 w:cs="Symbol"/>
                <w:sz w:val="18"/>
                <w:szCs w:val="18"/>
              </w:rPr>
              <w:t xml:space="preserve">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>Demonstrate the ability to structure an essay answer, using evidence to support relevant, balanced and focused historical arguments</w:t>
            </w:r>
          </w:p>
        </w:tc>
      </w:tr>
      <w:tr w:rsidR="00D94F6C" w:rsidRPr="00880081" w:rsidTr="006A13C2">
        <w:tc>
          <w:tcPr>
            <w:tcW w:w="751" w:type="dxa"/>
            <w:shd w:val="clear" w:color="auto" w:fill="auto"/>
          </w:tcPr>
          <w:p w:rsidR="00D94F6C" w:rsidRPr="00880081" w:rsidRDefault="00D94F6C" w:rsidP="006A13C2">
            <w:pPr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/>
                <w:sz w:val="18"/>
                <w:szCs w:val="18"/>
              </w:rPr>
              <w:t>12-14</w:t>
            </w:r>
          </w:p>
        </w:tc>
        <w:tc>
          <w:tcPr>
            <w:tcW w:w="7169" w:type="dxa"/>
            <w:shd w:val="clear" w:color="auto" w:fill="auto"/>
          </w:tcPr>
          <w:p w:rsidR="00D94F6C" w:rsidRPr="00880081" w:rsidRDefault="00D94F6C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 w:cs="Symbol"/>
                <w:sz w:val="18"/>
                <w:szCs w:val="18"/>
              </w:rPr>
              <w:t xml:space="preserve">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>Answers are clearly focused responses to the demands of the question.</w:t>
            </w:r>
          </w:p>
          <w:p w:rsidR="00D94F6C" w:rsidRPr="00880081" w:rsidRDefault="00D94F6C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 w:cs="Symbol"/>
                <w:sz w:val="18"/>
                <w:szCs w:val="18"/>
              </w:rPr>
              <w:t xml:space="preserve">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>Relevant in-depth historical knowledge is applied as evidence. Critical commentary indicates some in-depth understanding but is not consistent throughout.</w:t>
            </w:r>
          </w:p>
          <w:p w:rsidR="00D94F6C" w:rsidRPr="00880081" w:rsidRDefault="00D94F6C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 w:cs="Symbol"/>
                <w:sz w:val="18"/>
                <w:szCs w:val="18"/>
              </w:rPr>
              <w:t xml:space="preserve">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>Events are placed in their historical context. There is a sound understanding of historical processes and (where appropriate) comparison and contrast.</w:t>
            </w:r>
          </w:p>
          <w:p w:rsidR="00D94F6C" w:rsidRPr="00880081" w:rsidRDefault="00D94F6C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 w:cs="Symbol"/>
                <w:sz w:val="18"/>
                <w:szCs w:val="18"/>
              </w:rPr>
              <w:t xml:space="preserve">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>There may be awareness and some evaluation of different approaches to, and interpretations of, historical issues and events. These are used to supplement, in a relevant manner, the arguments presented.</w:t>
            </w:r>
          </w:p>
          <w:p w:rsidR="00D94F6C" w:rsidRPr="00880081" w:rsidRDefault="00D94F6C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 w:cs="Symbol"/>
                <w:sz w:val="18"/>
                <w:szCs w:val="18"/>
              </w:rPr>
              <w:t xml:space="preserve">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>Answers are well structured using evidence to support relevant historical arguments. Synthesis is present but not always effectively or consistently integrated.</w:t>
            </w:r>
          </w:p>
        </w:tc>
        <w:tc>
          <w:tcPr>
            <w:tcW w:w="2988" w:type="dxa"/>
            <w:vMerge/>
            <w:shd w:val="clear" w:color="auto" w:fill="auto"/>
          </w:tcPr>
          <w:p w:rsidR="00D94F6C" w:rsidRPr="00880081" w:rsidRDefault="00D94F6C" w:rsidP="00880081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4F6C" w:rsidRPr="00880081" w:rsidTr="006A13C2">
        <w:tc>
          <w:tcPr>
            <w:tcW w:w="751" w:type="dxa"/>
            <w:shd w:val="clear" w:color="auto" w:fill="auto"/>
          </w:tcPr>
          <w:p w:rsidR="00D94F6C" w:rsidRPr="00880081" w:rsidRDefault="00D94F6C" w:rsidP="006A13C2">
            <w:pPr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/>
                <w:sz w:val="18"/>
                <w:szCs w:val="18"/>
              </w:rPr>
              <w:t>9-11</w:t>
            </w:r>
          </w:p>
        </w:tc>
        <w:tc>
          <w:tcPr>
            <w:tcW w:w="7169" w:type="dxa"/>
            <w:shd w:val="clear" w:color="auto" w:fill="auto"/>
          </w:tcPr>
          <w:p w:rsidR="00D94F6C" w:rsidRPr="00880081" w:rsidRDefault="00D94F6C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 w:cs="Symbol"/>
                <w:sz w:val="18"/>
                <w:szCs w:val="18"/>
              </w:rPr>
              <w:t xml:space="preserve">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>Answers indicate that the demands of the question are understood and addressed, though not all implications are considered.</w:t>
            </w:r>
          </w:p>
          <w:p w:rsidR="00D94F6C" w:rsidRPr="00880081" w:rsidRDefault="00D94F6C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 w:cs="Symbol"/>
                <w:sz w:val="18"/>
                <w:szCs w:val="18"/>
              </w:rPr>
              <w:t xml:space="preserve">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>Relevant, largely accurate in-depth historical knowledge is present and applied as evidence. Critical commentary indicates some understanding.</w:t>
            </w:r>
          </w:p>
          <w:p w:rsidR="00D94F6C" w:rsidRPr="00880081" w:rsidRDefault="00D94F6C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 w:cs="Symbol"/>
                <w:sz w:val="18"/>
                <w:szCs w:val="18"/>
              </w:rPr>
              <w:t xml:space="preserve">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>Events are generally placed in their historical context. There is an understanding of historical processes and (where appropriate) comparison and contrast.</w:t>
            </w:r>
          </w:p>
          <w:p w:rsidR="00D94F6C" w:rsidRPr="00880081" w:rsidRDefault="00D94F6C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 w:cs="Symbol"/>
                <w:sz w:val="18"/>
                <w:szCs w:val="18"/>
              </w:rPr>
              <w:t xml:space="preserve">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 xml:space="preserve">There may be some awareness of different approaches to, and interpretations of, historical issues and events. However, responses that mainly summarize the views of historians and use these as a substitute for, rather than a supplement to, the deployment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lastRenderedPageBreak/>
              <w:t>of relevant historical knowledge cannot reach the top of this band.</w:t>
            </w:r>
          </w:p>
          <w:p w:rsidR="00D94F6C" w:rsidRPr="00880081" w:rsidRDefault="00D94F6C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 w:cs="Symbol"/>
                <w:sz w:val="18"/>
                <w:szCs w:val="18"/>
              </w:rPr>
              <w:t xml:space="preserve">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>There is a clear attempt to structure answers chronologically or thematically. Synthesis is present but underdeveloped.</w:t>
            </w:r>
          </w:p>
        </w:tc>
        <w:tc>
          <w:tcPr>
            <w:tcW w:w="2988" w:type="dxa"/>
            <w:shd w:val="clear" w:color="auto" w:fill="auto"/>
          </w:tcPr>
          <w:p w:rsidR="00D94F6C" w:rsidRPr="00880081" w:rsidRDefault="00D94F6C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/>
                <w:sz w:val="18"/>
                <w:szCs w:val="18"/>
              </w:rPr>
              <w:lastRenderedPageBreak/>
              <w:t>Middle mark range:</w:t>
            </w:r>
          </w:p>
          <w:p w:rsidR="00D94F6C" w:rsidRPr="00880081" w:rsidRDefault="00D94F6C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/>
                <w:sz w:val="18"/>
                <w:szCs w:val="18"/>
              </w:rPr>
              <w:t>In addition to the objectives for the lower mark range, this level also reaches the following objectives.</w:t>
            </w:r>
          </w:p>
          <w:p w:rsidR="00D94F6C" w:rsidRPr="00880081" w:rsidRDefault="00D94F6C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/>
                <w:sz w:val="18"/>
                <w:szCs w:val="18"/>
              </w:rPr>
              <w:t>Assessment objective 2: Application and interpretation</w:t>
            </w:r>
          </w:p>
          <w:p w:rsidR="00D94F6C" w:rsidRPr="00880081" w:rsidRDefault="00D94F6C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 w:cs="Symbol"/>
                <w:sz w:val="18"/>
                <w:szCs w:val="18"/>
              </w:rPr>
              <w:t xml:space="preserve">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>Apply historical knowledge as</w:t>
            </w:r>
          </w:p>
          <w:p w:rsidR="00D94F6C" w:rsidRPr="00880081" w:rsidRDefault="00D94F6C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/>
                <w:sz w:val="18"/>
                <w:szCs w:val="18"/>
              </w:rPr>
              <w:t>evidence</w:t>
            </w:r>
          </w:p>
          <w:p w:rsidR="00D94F6C" w:rsidRPr="00880081" w:rsidRDefault="00D94F6C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 w:cs="Symbol"/>
                <w:sz w:val="18"/>
                <w:szCs w:val="18"/>
              </w:rPr>
              <w:lastRenderedPageBreak/>
              <w:t xml:space="preserve">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>Show awareness of different</w:t>
            </w:r>
          </w:p>
          <w:p w:rsidR="00D94F6C" w:rsidRPr="00880081" w:rsidRDefault="00D94F6C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/>
                <w:sz w:val="18"/>
                <w:szCs w:val="18"/>
              </w:rPr>
              <w:t>approaches to, and interpretations of, historical issues and events</w:t>
            </w:r>
          </w:p>
          <w:p w:rsidR="00D94F6C" w:rsidRPr="00880081" w:rsidRDefault="00D94F6C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/>
                <w:sz w:val="18"/>
                <w:szCs w:val="18"/>
              </w:rPr>
              <w:t>Assessment objective 4: Use of historical skills</w:t>
            </w:r>
          </w:p>
          <w:p w:rsidR="00D94F6C" w:rsidRPr="00880081" w:rsidRDefault="00D94F6C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 w:cs="Symbol"/>
                <w:sz w:val="18"/>
                <w:szCs w:val="18"/>
              </w:rPr>
              <w:t xml:space="preserve">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>Demonstrate the ability to structure an essay answer, using evidence to support relevant historical arguments</w:t>
            </w:r>
          </w:p>
        </w:tc>
      </w:tr>
      <w:tr w:rsidR="00D73458" w:rsidRPr="00880081" w:rsidTr="006A13C2">
        <w:tc>
          <w:tcPr>
            <w:tcW w:w="751" w:type="dxa"/>
            <w:shd w:val="clear" w:color="auto" w:fill="auto"/>
          </w:tcPr>
          <w:p w:rsidR="00D73458" w:rsidRPr="00880081" w:rsidRDefault="00D73458" w:rsidP="006A13C2">
            <w:pPr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/>
                <w:sz w:val="18"/>
                <w:szCs w:val="18"/>
              </w:rPr>
              <w:lastRenderedPageBreak/>
              <w:t>7-8</w:t>
            </w:r>
          </w:p>
        </w:tc>
        <w:tc>
          <w:tcPr>
            <w:tcW w:w="7169" w:type="dxa"/>
            <w:shd w:val="clear" w:color="auto" w:fill="auto"/>
          </w:tcPr>
          <w:p w:rsidR="00D73458" w:rsidRPr="00880081" w:rsidRDefault="00D73458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 w:cs="Symbol"/>
                <w:sz w:val="18"/>
                <w:szCs w:val="18"/>
              </w:rPr>
              <w:t xml:space="preserve">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>Answers indicate that the demands of the question are generally understood.</w:t>
            </w:r>
          </w:p>
          <w:p w:rsidR="00D73458" w:rsidRPr="00880081" w:rsidRDefault="00D73458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 w:cs="Symbol"/>
                <w:sz w:val="18"/>
                <w:szCs w:val="18"/>
              </w:rPr>
              <w:t xml:space="preserve">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>Relevant in-depth historical knowledge is present but is unevenly applied throughout. Answers are presented in a narrative or descriptive manner.</w:t>
            </w:r>
          </w:p>
          <w:p w:rsidR="00D73458" w:rsidRPr="00880081" w:rsidRDefault="00D73458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/>
                <w:sz w:val="18"/>
                <w:szCs w:val="18"/>
              </w:rPr>
              <w:t>Alternatively, there is a limited argument that requires further substantiation. Some attempt at analysis may be present but limited.</w:t>
            </w:r>
          </w:p>
          <w:p w:rsidR="00D73458" w:rsidRPr="00880081" w:rsidRDefault="00D73458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 w:cs="Symbol"/>
                <w:sz w:val="18"/>
                <w:szCs w:val="18"/>
              </w:rPr>
              <w:t xml:space="preserve">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>There has been some attempt to place events in their historical context and to show an understanding of historical processes and (where appropriate) comparison and contrast.</w:t>
            </w:r>
          </w:p>
          <w:p w:rsidR="00D73458" w:rsidRPr="00880081" w:rsidRDefault="00D73458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 w:cs="Symbol"/>
                <w:sz w:val="18"/>
                <w:szCs w:val="18"/>
              </w:rPr>
              <w:t xml:space="preserve">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>There is evidence of an attempt to follow a structured approach, either chronological or thematic.</w:t>
            </w:r>
          </w:p>
        </w:tc>
        <w:tc>
          <w:tcPr>
            <w:tcW w:w="2988" w:type="dxa"/>
            <w:vMerge w:val="restart"/>
            <w:shd w:val="clear" w:color="auto" w:fill="auto"/>
          </w:tcPr>
          <w:p w:rsidR="00D73458" w:rsidRPr="00880081" w:rsidRDefault="00D73458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/>
                <w:sz w:val="18"/>
                <w:szCs w:val="18"/>
              </w:rPr>
              <w:t>Low mark range:</w:t>
            </w:r>
          </w:p>
          <w:p w:rsidR="00D73458" w:rsidRPr="00880081" w:rsidRDefault="00D73458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/>
                <w:sz w:val="18"/>
                <w:szCs w:val="18"/>
              </w:rPr>
              <w:t>Assessment objective 1: Knowledge and understanding</w:t>
            </w:r>
          </w:p>
          <w:p w:rsidR="00D73458" w:rsidRPr="00880081" w:rsidRDefault="00D73458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 w:cs="Symbol"/>
                <w:sz w:val="18"/>
                <w:szCs w:val="18"/>
              </w:rPr>
              <w:t xml:space="preserve">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>Recall and select relevant historical knowledge</w:t>
            </w:r>
          </w:p>
          <w:p w:rsidR="00D73458" w:rsidRPr="00880081" w:rsidRDefault="00D73458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 w:cs="Symbol"/>
                <w:sz w:val="18"/>
                <w:szCs w:val="18"/>
              </w:rPr>
              <w:t xml:space="preserve">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>Demonstrate an understanding of historical context</w:t>
            </w:r>
          </w:p>
          <w:p w:rsidR="00D73458" w:rsidRPr="00880081" w:rsidRDefault="00D73458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 w:cs="Symbol"/>
                <w:sz w:val="18"/>
                <w:szCs w:val="18"/>
              </w:rPr>
              <w:t xml:space="preserve">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>Demonstrate an understanding of historical processes: cause and</w:t>
            </w:r>
          </w:p>
          <w:p w:rsidR="00D73458" w:rsidRPr="00880081" w:rsidRDefault="00D73458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/>
                <w:sz w:val="18"/>
                <w:szCs w:val="18"/>
              </w:rPr>
              <w:t>effect; continuity and change</w:t>
            </w:r>
          </w:p>
          <w:p w:rsidR="00D73458" w:rsidRPr="00880081" w:rsidRDefault="00D73458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 w:cs="Symbol"/>
                <w:sz w:val="18"/>
                <w:szCs w:val="18"/>
              </w:rPr>
              <w:t xml:space="preserve">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>Deploy detailed, in-depth knowledge</w:t>
            </w:r>
          </w:p>
          <w:p w:rsidR="00D73458" w:rsidRPr="00880081" w:rsidRDefault="00D73458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/>
                <w:sz w:val="18"/>
                <w:szCs w:val="18"/>
              </w:rPr>
              <w:t>Assessment objective 4: Use of historical skills</w:t>
            </w:r>
          </w:p>
          <w:p w:rsidR="00D73458" w:rsidRPr="00880081" w:rsidRDefault="00D73458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 w:cs="Symbol"/>
                <w:sz w:val="18"/>
                <w:szCs w:val="18"/>
              </w:rPr>
              <w:t xml:space="preserve">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>Demonstrate the ability to structure an essay answer</w:t>
            </w:r>
          </w:p>
        </w:tc>
      </w:tr>
      <w:tr w:rsidR="00D73458" w:rsidRPr="00880081" w:rsidTr="006A13C2">
        <w:tc>
          <w:tcPr>
            <w:tcW w:w="751" w:type="dxa"/>
            <w:shd w:val="clear" w:color="auto" w:fill="auto"/>
          </w:tcPr>
          <w:p w:rsidR="00D73458" w:rsidRPr="00880081" w:rsidRDefault="00D73458" w:rsidP="006A13C2">
            <w:pPr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/>
                <w:sz w:val="18"/>
                <w:szCs w:val="18"/>
              </w:rPr>
              <w:t>5-6</w:t>
            </w:r>
          </w:p>
        </w:tc>
        <w:tc>
          <w:tcPr>
            <w:tcW w:w="7169" w:type="dxa"/>
            <w:shd w:val="clear" w:color="auto" w:fill="auto"/>
          </w:tcPr>
          <w:p w:rsidR="00D73458" w:rsidRPr="00880081" w:rsidRDefault="00D73458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 w:cs="Symbol"/>
                <w:sz w:val="18"/>
                <w:szCs w:val="18"/>
              </w:rPr>
              <w:t xml:space="preserve">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>Answers indicate some understanding of the question.</w:t>
            </w:r>
          </w:p>
          <w:p w:rsidR="00D73458" w:rsidRPr="00880081" w:rsidRDefault="00D73458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 w:cs="Symbol"/>
                <w:sz w:val="18"/>
                <w:szCs w:val="18"/>
              </w:rPr>
              <w:t xml:space="preserve">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>There is some relevant, accurate historical knowledge but detail is insufficient.</w:t>
            </w:r>
          </w:p>
          <w:p w:rsidR="00D73458" w:rsidRPr="00880081" w:rsidRDefault="00D73458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 w:cs="Symbol"/>
                <w:sz w:val="18"/>
                <w:szCs w:val="18"/>
              </w:rPr>
              <w:t xml:space="preserve">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>Understanding of historical processes and (where appropriate) comparison and contrast may be present but underdeveloped.</w:t>
            </w:r>
          </w:p>
          <w:p w:rsidR="00D73458" w:rsidRPr="00880081" w:rsidRDefault="00D73458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 w:cs="Symbol"/>
                <w:sz w:val="18"/>
                <w:szCs w:val="18"/>
              </w:rPr>
              <w:t xml:space="preserve">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>While there may be a recognizable essay structure, the question is only partially addressed.</w:t>
            </w:r>
          </w:p>
        </w:tc>
        <w:tc>
          <w:tcPr>
            <w:tcW w:w="2988" w:type="dxa"/>
            <w:vMerge/>
            <w:shd w:val="clear" w:color="auto" w:fill="auto"/>
          </w:tcPr>
          <w:p w:rsidR="00D73458" w:rsidRPr="00880081" w:rsidRDefault="00D73458" w:rsidP="00880081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3458" w:rsidRPr="00880081" w:rsidTr="006A13C2">
        <w:tc>
          <w:tcPr>
            <w:tcW w:w="751" w:type="dxa"/>
            <w:shd w:val="clear" w:color="auto" w:fill="auto"/>
          </w:tcPr>
          <w:p w:rsidR="00D73458" w:rsidRPr="00880081" w:rsidRDefault="00D73458" w:rsidP="006A13C2">
            <w:pPr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/>
                <w:sz w:val="18"/>
                <w:szCs w:val="18"/>
              </w:rPr>
              <w:t>3-4</w:t>
            </w:r>
          </w:p>
        </w:tc>
        <w:tc>
          <w:tcPr>
            <w:tcW w:w="7169" w:type="dxa"/>
            <w:shd w:val="clear" w:color="auto" w:fill="auto"/>
          </w:tcPr>
          <w:p w:rsidR="00D73458" w:rsidRPr="00880081" w:rsidRDefault="00D73458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 w:cs="Symbol"/>
                <w:sz w:val="18"/>
                <w:szCs w:val="18"/>
              </w:rPr>
              <w:t xml:space="preserve">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>Answers reveal little understanding of the question.</w:t>
            </w:r>
          </w:p>
          <w:p w:rsidR="00D73458" w:rsidRPr="00880081" w:rsidRDefault="00D73458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 w:cs="Symbol"/>
                <w:sz w:val="18"/>
                <w:szCs w:val="18"/>
              </w:rPr>
              <w:t xml:space="preserve">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>While historical details are present, they are largely inaccurate and/or of marginal relevance to the task.</w:t>
            </w:r>
          </w:p>
          <w:p w:rsidR="00D73458" w:rsidRPr="00880081" w:rsidRDefault="00D73458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 w:cs="Symbol"/>
                <w:sz w:val="18"/>
                <w:szCs w:val="18"/>
              </w:rPr>
              <w:t xml:space="preserve">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>There is little or no understanding of historical context or historical processes.</w:t>
            </w:r>
          </w:p>
          <w:p w:rsidR="00D73458" w:rsidRPr="00880081" w:rsidRDefault="00D73458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 w:cs="Symbol"/>
                <w:sz w:val="18"/>
                <w:szCs w:val="18"/>
              </w:rPr>
              <w:t xml:space="preserve">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>While there may be a recognizable essay structure, answers consist of little more than poorly substantiated assertions.</w:t>
            </w:r>
          </w:p>
        </w:tc>
        <w:tc>
          <w:tcPr>
            <w:tcW w:w="2988" w:type="dxa"/>
            <w:vMerge/>
            <w:shd w:val="clear" w:color="auto" w:fill="auto"/>
          </w:tcPr>
          <w:p w:rsidR="00D73458" w:rsidRPr="00880081" w:rsidRDefault="00D73458" w:rsidP="00880081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3458" w:rsidRPr="00880081" w:rsidTr="006A13C2">
        <w:tc>
          <w:tcPr>
            <w:tcW w:w="751" w:type="dxa"/>
            <w:shd w:val="clear" w:color="auto" w:fill="auto"/>
          </w:tcPr>
          <w:p w:rsidR="00D73458" w:rsidRPr="00880081" w:rsidRDefault="00D73458" w:rsidP="006A13C2">
            <w:pPr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/>
                <w:sz w:val="18"/>
                <w:szCs w:val="18"/>
              </w:rPr>
              <w:t>1-2</w:t>
            </w:r>
          </w:p>
        </w:tc>
        <w:tc>
          <w:tcPr>
            <w:tcW w:w="7169" w:type="dxa"/>
            <w:shd w:val="clear" w:color="auto" w:fill="auto"/>
          </w:tcPr>
          <w:p w:rsidR="00D73458" w:rsidRPr="00880081" w:rsidRDefault="00D73458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 w:cs="Symbol"/>
                <w:sz w:val="18"/>
                <w:szCs w:val="18"/>
              </w:rPr>
              <w:t xml:space="preserve">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>Answers lack understanding of the demands of the question or accurate/relevant historical knowledge.</w:t>
            </w:r>
          </w:p>
          <w:p w:rsidR="00D73458" w:rsidRPr="00880081" w:rsidRDefault="00D73458" w:rsidP="00880081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 w:cs="Symbol"/>
                <w:sz w:val="18"/>
                <w:szCs w:val="18"/>
              </w:rPr>
              <w:t xml:space="preserve">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>Answers show little or no evidence of structure and consist of little more than unsupported generalizations</w:t>
            </w:r>
          </w:p>
        </w:tc>
        <w:tc>
          <w:tcPr>
            <w:tcW w:w="2988" w:type="dxa"/>
            <w:vMerge/>
            <w:shd w:val="clear" w:color="auto" w:fill="auto"/>
          </w:tcPr>
          <w:p w:rsidR="00D73458" w:rsidRPr="00880081" w:rsidRDefault="00D73458" w:rsidP="00880081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94F6C" w:rsidRPr="00880081" w:rsidTr="006A13C2">
        <w:tc>
          <w:tcPr>
            <w:tcW w:w="751" w:type="dxa"/>
            <w:shd w:val="clear" w:color="auto" w:fill="auto"/>
          </w:tcPr>
          <w:p w:rsidR="00D94F6C" w:rsidRPr="00880081" w:rsidRDefault="00D94F6C" w:rsidP="006A13C2">
            <w:pPr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7169" w:type="dxa"/>
            <w:shd w:val="clear" w:color="auto" w:fill="auto"/>
          </w:tcPr>
          <w:p w:rsidR="00D94F6C" w:rsidRPr="00880081" w:rsidRDefault="00D94F6C" w:rsidP="00880081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  <w:r w:rsidRPr="00880081">
              <w:rPr>
                <w:rFonts w:asciiTheme="minorHAnsi" w:hAnsiTheme="minorHAnsi" w:cs="Symbol"/>
                <w:sz w:val="18"/>
                <w:szCs w:val="18"/>
              </w:rPr>
              <w:t xml:space="preserve"> </w:t>
            </w:r>
            <w:r w:rsidRPr="00880081">
              <w:rPr>
                <w:rFonts w:asciiTheme="minorHAnsi" w:hAnsiTheme="minorHAnsi"/>
                <w:sz w:val="18"/>
                <w:szCs w:val="18"/>
              </w:rPr>
              <w:t>The work does not reach a standard described by the descriptors above.</w:t>
            </w:r>
          </w:p>
        </w:tc>
        <w:tc>
          <w:tcPr>
            <w:tcW w:w="2988" w:type="dxa"/>
            <w:shd w:val="clear" w:color="auto" w:fill="auto"/>
          </w:tcPr>
          <w:p w:rsidR="00D94F6C" w:rsidRPr="00880081" w:rsidRDefault="00D94F6C" w:rsidP="00880081">
            <w:pPr>
              <w:spacing w:after="6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94F6C" w:rsidRPr="00880081" w:rsidRDefault="00D94F6C" w:rsidP="00D94F6C">
      <w:pPr>
        <w:autoSpaceDE w:val="0"/>
        <w:autoSpaceDN w:val="0"/>
        <w:adjustRightInd w:val="0"/>
        <w:spacing w:after="0"/>
        <w:rPr>
          <w:rFonts w:asciiTheme="minorHAnsi" w:hAnsiTheme="minorHAnsi"/>
          <w:sz w:val="18"/>
          <w:szCs w:val="18"/>
        </w:rPr>
      </w:pPr>
      <w:r w:rsidRPr="00880081">
        <w:rPr>
          <w:rFonts w:asciiTheme="minorHAnsi" w:hAnsiTheme="minorHAnsi" w:cs="Symbol"/>
          <w:sz w:val="18"/>
          <w:szCs w:val="18"/>
        </w:rPr>
        <w:t xml:space="preserve"> </w:t>
      </w:r>
      <w:r w:rsidRPr="00880081">
        <w:rPr>
          <w:rFonts w:asciiTheme="minorHAnsi" w:hAnsiTheme="minorHAnsi"/>
          <w:sz w:val="18"/>
          <w:szCs w:val="18"/>
        </w:rPr>
        <w:t>T</w:t>
      </w:r>
      <w:bookmarkStart w:id="0" w:name="_GoBack"/>
      <w:bookmarkEnd w:id="0"/>
      <w:r w:rsidRPr="00880081">
        <w:rPr>
          <w:rFonts w:asciiTheme="minorHAnsi" w:hAnsiTheme="minorHAnsi"/>
          <w:sz w:val="18"/>
          <w:szCs w:val="18"/>
        </w:rPr>
        <w:t>he mark awarded will be one that most fairly reflects the balance of achievement against the criterion.</w:t>
      </w:r>
    </w:p>
    <w:p w:rsidR="00D94F6C" w:rsidRPr="00880081" w:rsidRDefault="00D94F6C" w:rsidP="00D94F6C">
      <w:pPr>
        <w:autoSpaceDE w:val="0"/>
        <w:autoSpaceDN w:val="0"/>
        <w:adjustRightInd w:val="0"/>
        <w:spacing w:after="0"/>
        <w:rPr>
          <w:rFonts w:asciiTheme="minorHAnsi" w:hAnsiTheme="minorHAnsi"/>
          <w:sz w:val="18"/>
          <w:szCs w:val="18"/>
        </w:rPr>
      </w:pPr>
      <w:r w:rsidRPr="00880081">
        <w:rPr>
          <w:rFonts w:asciiTheme="minorHAnsi" w:hAnsiTheme="minorHAnsi" w:cs="Symbol"/>
          <w:sz w:val="18"/>
          <w:szCs w:val="18"/>
        </w:rPr>
        <w:t xml:space="preserve"> </w:t>
      </w:r>
      <w:r w:rsidRPr="00880081">
        <w:rPr>
          <w:rFonts w:asciiTheme="minorHAnsi" w:hAnsiTheme="minorHAnsi"/>
          <w:sz w:val="18"/>
          <w:szCs w:val="18"/>
        </w:rPr>
        <w:t>Extremes in the grading scale (0-20) will be used if they are appropriate descriptions of the work being assessed.</w:t>
      </w:r>
    </w:p>
    <w:p w:rsidR="00D94F6C" w:rsidRPr="00880081" w:rsidRDefault="00D94F6C" w:rsidP="00880081">
      <w:pPr>
        <w:autoSpaceDE w:val="0"/>
        <w:autoSpaceDN w:val="0"/>
        <w:adjustRightInd w:val="0"/>
        <w:spacing w:after="0"/>
        <w:rPr>
          <w:rFonts w:asciiTheme="minorHAnsi" w:hAnsiTheme="minorHAnsi"/>
          <w:iCs/>
          <w:sz w:val="18"/>
          <w:szCs w:val="18"/>
        </w:rPr>
      </w:pPr>
      <w:r w:rsidRPr="00880081">
        <w:rPr>
          <w:rFonts w:asciiTheme="minorHAnsi" w:hAnsiTheme="minorHAnsi" w:cs="Symbol"/>
          <w:sz w:val="18"/>
          <w:szCs w:val="18"/>
        </w:rPr>
        <w:t xml:space="preserve"> </w:t>
      </w:r>
      <w:r w:rsidRPr="00880081">
        <w:rPr>
          <w:rFonts w:asciiTheme="minorHAnsi" w:hAnsiTheme="minorHAnsi"/>
          <w:sz w:val="18"/>
          <w:szCs w:val="18"/>
        </w:rPr>
        <w:t xml:space="preserve">Point ceilings: </w:t>
      </w:r>
      <w:r w:rsidRPr="00880081">
        <w:rPr>
          <w:rFonts w:asciiTheme="minorHAnsi" w:hAnsiTheme="minorHAnsi"/>
          <w:iCs/>
          <w:sz w:val="18"/>
          <w:szCs w:val="18"/>
        </w:rPr>
        <w:t xml:space="preserve">If only </w:t>
      </w:r>
      <w:r w:rsidRPr="00880081">
        <w:rPr>
          <w:rFonts w:asciiTheme="minorHAnsi" w:hAnsiTheme="minorHAnsi"/>
          <w:b/>
          <w:bCs/>
          <w:iCs/>
          <w:sz w:val="18"/>
          <w:szCs w:val="18"/>
        </w:rPr>
        <w:t xml:space="preserve">ONE </w:t>
      </w:r>
      <w:r w:rsidRPr="00880081">
        <w:rPr>
          <w:rFonts w:asciiTheme="minorHAnsi" w:hAnsiTheme="minorHAnsi"/>
          <w:iCs/>
          <w:sz w:val="18"/>
          <w:szCs w:val="18"/>
        </w:rPr>
        <w:t>aspect of a multi-aspect task (similarities/differences, two leaders, two countries,</w:t>
      </w:r>
      <w:r w:rsidR="00880081">
        <w:rPr>
          <w:rFonts w:asciiTheme="minorHAnsi" w:hAnsiTheme="minorHAnsi"/>
          <w:iCs/>
          <w:sz w:val="18"/>
          <w:szCs w:val="18"/>
        </w:rPr>
        <w:t xml:space="preserve"> </w:t>
      </w:r>
      <w:r w:rsidRPr="00880081">
        <w:rPr>
          <w:rFonts w:asciiTheme="minorHAnsi" w:hAnsiTheme="minorHAnsi"/>
          <w:iCs/>
          <w:sz w:val="18"/>
          <w:szCs w:val="18"/>
        </w:rPr>
        <w:t>successes/failures, etc...) is addressed, no more than 12 of 20 points will be awarded, and in some cases maximum of 8/20.</w:t>
      </w:r>
    </w:p>
    <w:p w:rsidR="00CD7B8D" w:rsidRDefault="00CD7B8D" w:rsidP="00D73458">
      <w:pPr>
        <w:spacing w:after="0"/>
        <w:rPr>
          <w:rFonts w:ascii="Cambria" w:hAnsi="Cambria"/>
          <w:b/>
          <w:iCs/>
        </w:rPr>
      </w:pPr>
    </w:p>
    <w:p w:rsidR="00D73458" w:rsidRPr="006E4894" w:rsidRDefault="00D73458" w:rsidP="00D73458">
      <w:pPr>
        <w:spacing w:after="0"/>
        <w:rPr>
          <w:rFonts w:ascii="Cambria" w:hAnsi="Cambria"/>
          <w:b/>
          <w:iCs/>
        </w:rPr>
      </w:pPr>
      <w:r w:rsidRPr="006E4894">
        <w:rPr>
          <w:rFonts w:ascii="Cambria" w:hAnsi="Cambria"/>
          <w:b/>
          <w:iCs/>
        </w:rPr>
        <w:t>Converting Mark Schemes into letter grades:</w:t>
      </w:r>
    </w:p>
    <w:tbl>
      <w:tblPr>
        <w:tblW w:w="0" w:type="auto"/>
        <w:jc w:val="center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  <w:gridCol w:w="1836"/>
      </w:tblGrid>
      <w:tr w:rsidR="006E4894" w:rsidRPr="006E4894" w:rsidTr="006A13C2">
        <w:trPr>
          <w:jc w:val="center"/>
        </w:trPr>
        <w:tc>
          <w:tcPr>
            <w:tcW w:w="1836" w:type="dxa"/>
            <w:tcBorders>
              <w:right w:val="nil"/>
            </w:tcBorders>
            <w:shd w:val="clear" w:color="auto" w:fill="auto"/>
            <w:vAlign w:val="center"/>
          </w:tcPr>
          <w:p w:rsidR="006C629D" w:rsidRPr="006E4894" w:rsidRDefault="006C629D" w:rsidP="006A13C2">
            <w:pPr>
              <w:spacing w:after="0"/>
              <w:jc w:val="center"/>
              <w:rPr>
                <w:rFonts w:cs="Calibri"/>
                <w:iCs/>
              </w:rPr>
            </w:pPr>
            <w:r w:rsidRPr="006E4894">
              <w:rPr>
                <w:rFonts w:cs="Calibri"/>
                <w:iCs/>
              </w:rPr>
              <w:t>Mark Score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vAlign w:val="center"/>
          </w:tcPr>
          <w:p w:rsidR="006C629D" w:rsidRPr="006E4894" w:rsidRDefault="006C629D" w:rsidP="006A13C2">
            <w:pPr>
              <w:spacing w:after="0"/>
              <w:jc w:val="center"/>
              <w:rPr>
                <w:rFonts w:cs="Calibri"/>
                <w:iCs/>
              </w:rPr>
            </w:pPr>
            <w:r w:rsidRPr="006E4894">
              <w:rPr>
                <w:rFonts w:cs="Calibri"/>
                <w:iCs/>
              </w:rPr>
              <w:t>Grade</w:t>
            </w:r>
          </w:p>
        </w:tc>
        <w:tc>
          <w:tcPr>
            <w:tcW w:w="1836" w:type="dxa"/>
            <w:tcBorders>
              <w:right w:val="nil"/>
            </w:tcBorders>
            <w:shd w:val="clear" w:color="auto" w:fill="auto"/>
            <w:vAlign w:val="center"/>
          </w:tcPr>
          <w:p w:rsidR="006C629D" w:rsidRPr="006E4894" w:rsidRDefault="006C629D" w:rsidP="006A13C2">
            <w:pPr>
              <w:spacing w:after="0"/>
              <w:jc w:val="center"/>
              <w:rPr>
                <w:rFonts w:cs="Calibri"/>
                <w:iCs/>
              </w:rPr>
            </w:pPr>
            <w:r w:rsidRPr="006E4894">
              <w:rPr>
                <w:rFonts w:cs="Calibri"/>
                <w:iCs/>
              </w:rPr>
              <w:t>Mark Score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vAlign w:val="center"/>
          </w:tcPr>
          <w:p w:rsidR="006C629D" w:rsidRPr="006E4894" w:rsidRDefault="006C629D" w:rsidP="006A13C2">
            <w:pPr>
              <w:spacing w:after="0"/>
              <w:jc w:val="center"/>
              <w:rPr>
                <w:rFonts w:cs="Calibri"/>
                <w:iCs/>
              </w:rPr>
            </w:pPr>
            <w:r w:rsidRPr="006E4894">
              <w:rPr>
                <w:rFonts w:cs="Calibri"/>
                <w:iCs/>
              </w:rPr>
              <w:t>Grade</w:t>
            </w:r>
          </w:p>
        </w:tc>
        <w:tc>
          <w:tcPr>
            <w:tcW w:w="1836" w:type="dxa"/>
            <w:tcBorders>
              <w:right w:val="nil"/>
            </w:tcBorders>
            <w:shd w:val="clear" w:color="auto" w:fill="auto"/>
            <w:vAlign w:val="center"/>
          </w:tcPr>
          <w:p w:rsidR="006C629D" w:rsidRPr="006E4894" w:rsidRDefault="006C629D" w:rsidP="006A13C2">
            <w:pPr>
              <w:spacing w:after="0"/>
              <w:jc w:val="center"/>
              <w:rPr>
                <w:rFonts w:cs="Calibri"/>
                <w:iCs/>
              </w:rPr>
            </w:pPr>
            <w:r w:rsidRPr="006E4894">
              <w:rPr>
                <w:rFonts w:cs="Calibri"/>
                <w:iCs/>
              </w:rPr>
              <w:t>Mark Score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vAlign w:val="center"/>
          </w:tcPr>
          <w:p w:rsidR="006C629D" w:rsidRPr="006E4894" w:rsidRDefault="006C629D" w:rsidP="006A13C2">
            <w:pPr>
              <w:spacing w:after="0"/>
              <w:jc w:val="center"/>
              <w:rPr>
                <w:rFonts w:cs="Calibri"/>
                <w:iCs/>
              </w:rPr>
            </w:pPr>
            <w:r w:rsidRPr="006E4894">
              <w:rPr>
                <w:rFonts w:cs="Calibri"/>
                <w:iCs/>
              </w:rPr>
              <w:t>Grade</w:t>
            </w:r>
          </w:p>
        </w:tc>
      </w:tr>
      <w:tr w:rsidR="006E4894" w:rsidRPr="006E4894" w:rsidTr="00405DC8">
        <w:trPr>
          <w:jc w:val="center"/>
        </w:trPr>
        <w:tc>
          <w:tcPr>
            <w:tcW w:w="1836" w:type="dxa"/>
            <w:tcBorders>
              <w:right w:val="nil"/>
            </w:tcBorders>
            <w:shd w:val="clear" w:color="auto" w:fill="auto"/>
            <w:vAlign w:val="center"/>
          </w:tcPr>
          <w:p w:rsidR="00A2589B" w:rsidRPr="006E4894" w:rsidRDefault="00A2589B" w:rsidP="006A13C2">
            <w:pPr>
              <w:spacing w:after="0"/>
              <w:jc w:val="center"/>
              <w:rPr>
                <w:rFonts w:cs="Calibri"/>
                <w:iCs/>
              </w:rPr>
            </w:pPr>
            <w:r w:rsidRPr="006E4894">
              <w:rPr>
                <w:rFonts w:cs="Calibri"/>
                <w:iCs/>
              </w:rPr>
              <w:t>0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vAlign w:val="center"/>
          </w:tcPr>
          <w:p w:rsidR="00A2589B" w:rsidRPr="006E4894" w:rsidRDefault="00A2589B" w:rsidP="006A13C2">
            <w:pPr>
              <w:spacing w:after="0"/>
              <w:jc w:val="center"/>
              <w:rPr>
                <w:rFonts w:cs="Calibri"/>
                <w:iCs/>
              </w:rPr>
            </w:pPr>
            <w:r w:rsidRPr="006E4894">
              <w:rPr>
                <w:rFonts w:cs="Calibri"/>
                <w:iCs/>
              </w:rPr>
              <w:t>0</w:t>
            </w:r>
          </w:p>
        </w:tc>
        <w:tc>
          <w:tcPr>
            <w:tcW w:w="1836" w:type="dxa"/>
            <w:tcBorders>
              <w:right w:val="nil"/>
            </w:tcBorders>
            <w:shd w:val="clear" w:color="auto" w:fill="auto"/>
            <w:vAlign w:val="center"/>
          </w:tcPr>
          <w:p w:rsidR="00A2589B" w:rsidRPr="006E4894" w:rsidRDefault="00A2589B" w:rsidP="006A13C2">
            <w:pPr>
              <w:spacing w:after="0"/>
              <w:jc w:val="center"/>
              <w:rPr>
                <w:rFonts w:cs="Calibri"/>
                <w:iCs/>
              </w:rPr>
            </w:pPr>
            <w:r w:rsidRPr="006E4894">
              <w:rPr>
                <w:rFonts w:cs="Calibri"/>
                <w:iCs/>
              </w:rPr>
              <w:t>7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vAlign w:val="center"/>
          </w:tcPr>
          <w:p w:rsidR="00A2589B" w:rsidRPr="006E4894" w:rsidRDefault="00A2589B" w:rsidP="006A13C2">
            <w:pPr>
              <w:spacing w:after="0"/>
              <w:jc w:val="center"/>
              <w:rPr>
                <w:rFonts w:cs="Calibri"/>
                <w:iCs/>
              </w:rPr>
            </w:pPr>
            <w:r w:rsidRPr="006E4894">
              <w:rPr>
                <w:rFonts w:cs="Calibri"/>
                <w:iCs/>
              </w:rPr>
              <w:t>73</w:t>
            </w:r>
          </w:p>
        </w:tc>
        <w:tc>
          <w:tcPr>
            <w:tcW w:w="1836" w:type="dxa"/>
            <w:tcBorders>
              <w:right w:val="nil"/>
            </w:tcBorders>
            <w:shd w:val="clear" w:color="auto" w:fill="auto"/>
            <w:vAlign w:val="center"/>
          </w:tcPr>
          <w:p w:rsidR="00A2589B" w:rsidRPr="006E4894" w:rsidRDefault="00A2589B" w:rsidP="006A13C2">
            <w:pPr>
              <w:spacing w:after="0"/>
              <w:jc w:val="center"/>
              <w:rPr>
                <w:rFonts w:cs="Calibri"/>
                <w:iCs/>
              </w:rPr>
            </w:pPr>
            <w:r w:rsidRPr="006E4894">
              <w:rPr>
                <w:rFonts w:cs="Calibri"/>
                <w:iCs/>
              </w:rPr>
              <w:t>14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</w:tcPr>
          <w:p w:rsidR="00A2589B" w:rsidRPr="006E4894" w:rsidRDefault="00A2589B" w:rsidP="00405DC8">
            <w:pPr>
              <w:spacing w:after="0"/>
              <w:rPr>
                <w:rFonts w:ascii="Cambria" w:hAnsi="Cambria"/>
                <w:iCs/>
                <w:sz w:val="20"/>
                <w:szCs w:val="20"/>
              </w:rPr>
            </w:pPr>
            <w:r w:rsidRPr="006E4894">
              <w:rPr>
                <w:rFonts w:ascii="Cambria" w:hAnsi="Cambria"/>
                <w:iCs/>
                <w:sz w:val="20"/>
                <w:szCs w:val="20"/>
              </w:rPr>
              <w:t>90</w:t>
            </w:r>
          </w:p>
        </w:tc>
      </w:tr>
      <w:tr w:rsidR="006E4894" w:rsidRPr="006E4894" w:rsidTr="00405DC8">
        <w:trPr>
          <w:jc w:val="center"/>
        </w:trPr>
        <w:tc>
          <w:tcPr>
            <w:tcW w:w="1836" w:type="dxa"/>
            <w:tcBorders>
              <w:right w:val="nil"/>
            </w:tcBorders>
            <w:shd w:val="clear" w:color="auto" w:fill="auto"/>
            <w:vAlign w:val="center"/>
          </w:tcPr>
          <w:p w:rsidR="00A2589B" w:rsidRPr="006E4894" w:rsidRDefault="00A2589B" w:rsidP="006A13C2">
            <w:pPr>
              <w:spacing w:after="0"/>
              <w:jc w:val="center"/>
              <w:rPr>
                <w:rFonts w:cs="Calibri"/>
                <w:iCs/>
              </w:rPr>
            </w:pPr>
            <w:r w:rsidRPr="006E4894">
              <w:rPr>
                <w:rFonts w:cs="Calibri"/>
                <w:iCs/>
              </w:rPr>
              <w:t>1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vAlign w:val="center"/>
          </w:tcPr>
          <w:p w:rsidR="00A2589B" w:rsidRPr="006E4894" w:rsidRDefault="00A2589B" w:rsidP="00405DC8">
            <w:pPr>
              <w:spacing w:after="0"/>
              <w:jc w:val="center"/>
              <w:rPr>
                <w:rFonts w:cs="Calibri"/>
                <w:iCs/>
              </w:rPr>
            </w:pPr>
            <w:r w:rsidRPr="006E4894">
              <w:rPr>
                <w:rFonts w:cs="Calibri"/>
                <w:iCs/>
              </w:rPr>
              <w:t>40</w:t>
            </w:r>
          </w:p>
        </w:tc>
        <w:tc>
          <w:tcPr>
            <w:tcW w:w="1836" w:type="dxa"/>
            <w:tcBorders>
              <w:right w:val="nil"/>
            </w:tcBorders>
            <w:shd w:val="clear" w:color="auto" w:fill="auto"/>
            <w:vAlign w:val="center"/>
          </w:tcPr>
          <w:p w:rsidR="00A2589B" w:rsidRPr="006E4894" w:rsidRDefault="00A2589B" w:rsidP="006A13C2">
            <w:pPr>
              <w:spacing w:after="0"/>
              <w:jc w:val="center"/>
              <w:rPr>
                <w:rFonts w:cs="Calibri"/>
                <w:iCs/>
              </w:rPr>
            </w:pPr>
            <w:r w:rsidRPr="006E4894">
              <w:rPr>
                <w:rFonts w:cs="Calibri"/>
                <w:iCs/>
              </w:rPr>
              <w:t>8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vAlign w:val="center"/>
          </w:tcPr>
          <w:p w:rsidR="00A2589B" w:rsidRPr="006E4894" w:rsidRDefault="00A2589B" w:rsidP="006A13C2">
            <w:pPr>
              <w:spacing w:after="0"/>
              <w:jc w:val="center"/>
              <w:rPr>
                <w:rFonts w:cs="Calibri"/>
                <w:iCs/>
              </w:rPr>
            </w:pPr>
            <w:r w:rsidRPr="006E4894">
              <w:rPr>
                <w:rFonts w:cs="Calibri"/>
                <w:iCs/>
              </w:rPr>
              <w:t>74</w:t>
            </w:r>
          </w:p>
        </w:tc>
        <w:tc>
          <w:tcPr>
            <w:tcW w:w="1836" w:type="dxa"/>
            <w:tcBorders>
              <w:right w:val="nil"/>
            </w:tcBorders>
            <w:shd w:val="clear" w:color="auto" w:fill="auto"/>
            <w:vAlign w:val="center"/>
          </w:tcPr>
          <w:p w:rsidR="00A2589B" w:rsidRPr="006E4894" w:rsidRDefault="00A2589B" w:rsidP="006A13C2">
            <w:pPr>
              <w:spacing w:after="0"/>
              <w:jc w:val="center"/>
              <w:rPr>
                <w:rFonts w:cs="Calibri"/>
                <w:iCs/>
              </w:rPr>
            </w:pPr>
            <w:r w:rsidRPr="006E4894">
              <w:rPr>
                <w:rFonts w:cs="Calibri"/>
                <w:iCs/>
              </w:rPr>
              <w:t>15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</w:tcPr>
          <w:p w:rsidR="00A2589B" w:rsidRPr="006E4894" w:rsidRDefault="00A2589B" w:rsidP="00405DC8">
            <w:pPr>
              <w:tabs>
                <w:tab w:val="left" w:pos="2295"/>
              </w:tabs>
              <w:spacing w:after="0"/>
              <w:rPr>
                <w:rFonts w:cs="Calibri"/>
              </w:rPr>
            </w:pPr>
            <w:r w:rsidRPr="006E4894">
              <w:rPr>
                <w:rFonts w:cs="Calibri"/>
              </w:rPr>
              <w:t>92</w:t>
            </w:r>
          </w:p>
        </w:tc>
      </w:tr>
      <w:tr w:rsidR="006E4894" w:rsidRPr="006E4894" w:rsidTr="00405DC8">
        <w:trPr>
          <w:jc w:val="center"/>
        </w:trPr>
        <w:tc>
          <w:tcPr>
            <w:tcW w:w="1836" w:type="dxa"/>
            <w:tcBorders>
              <w:right w:val="nil"/>
            </w:tcBorders>
            <w:shd w:val="clear" w:color="auto" w:fill="auto"/>
            <w:vAlign w:val="center"/>
          </w:tcPr>
          <w:p w:rsidR="00A2589B" w:rsidRPr="006E4894" w:rsidRDefault="00A2589B" w:rsidP="006A13C2">
            <w:pPr>
              <w:spacing w:after="0"/>
              <w:jc w:val="center"/>
              <w:rPr>
                <w:rFonts w:cs="Calibri"/>
                <w:iCs/>
              </w:rPr>
            </w:pPr>
            <w:r w:rsidRPr="006E4894">
              <w:rPr>
                <w:rFonts w:cs="Calibri"/>
                <w:iCs/>
              </w:rPr>
              <w:t>2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vAlign w:val="center"/>
          </w:tcPr>
          <w:p w:rsidR="00A2589B" w:rsidRPr="006E4894" w:rsidRDefault="00A2589B" w:rsidP="00405DC8">
            <w:pPr>
              <w:spacing w:after="0"/>
              <w:jc w:val="center"/>
              <w:rPr>
                <w:rFonts w:cs="Calibri"/>
                <w:iCs/>
              </w:rPr>
            </w:pPr>
            <w:r w:rsidRPr="006E4894">
              <w:rPr>
                <w:rFonts w:cs="Calibri"/>
                <w:iCs/>
              </w:rPr>
              <w:t>50</w:t>
            </w:r>
          </w:p>
        </w:tc>
        <w:tc>
          <w:tcPr>
            <w:tcW w:w="1836" w:type="dxa"/>
            <w:tcBorders>
              <w:right w:val="nil"/>
            </w:tcBorders>
            <w:shd w:val="clear" w:color="auto" w:fill="auto"/>
            <w:vAlign w:val="center"/>
          </w:tcPr>
          <w:p w:rsidR="00A2589B" w:rsidRPr="006E4894" w:rsidRDefault="00A2589B" w:rsidP="006A13C2">
            <w:pPr>
              <w:spacing w:after="0"/>
              <w:jc w:val="center"/>
              <w:rPr>
                <w:rFonts w:cs="Calibri"/>
                <w:iCs/>
              </w:rPr>
            </w:pPr>
            <w:r w:rsidRPr="006E4894">
              <w:rPr>
                <w:rFonts w:cs="Calibri"/>
                <w:iCs/>
              </w:rPr>
              <w:t>9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vAlign w:val="center"/>
          </w:tcPr>
          <w:p w:rsidR="00A2589B" w:rsidRPr="006E4894" w:rsidRDefault="00A2589B" w:rsidP="006A13C2">
            <w:pPr>
              <w:spacing w:after="0"/>
              <w:jc w:val="center"/>
              <w:rPr>
                <w:rFonts w:cs="Calibri"/>
                <w:iCs/>
              </w:rPr>
            </w:pPr>
            <w:r w:rsidRPr="006E4894">
              <w:rPr>
                <w:rFonts w:cs="Calibri"/>
                <w:iCs/>
              </w:rPr>
              <w:t>75</w:t>
            </w:r>
          </w:p>
        </w:tc>
        <w:tc>
          <w:tcPr>
            <w:tcW w:w="1836" w:type="dxa"/>
            <w:tcBorders>
              <w:right w:val="nil"/>
            </w:tcBorders>
            <w:shd w:val="clear" w:color="auto" w:fill="auto"/>
            <w:vAlign w:val="center"/>
          </w:tcPr>
          <w:p w:rsidR="00A2589B" w:rsidRPr="006E4894" w:rsidRDefault="00A2589B" w:rsidP="006A13C2">
            <w:pPr>
              <w:spacing w:after="0"/>
              <w:jc w:val="center"/>
              <w:rPr>
                <w:rFonts w:cs="Calibri"/>
                <w:iCs/>
              </w:rPr>
            </w:pPr>
            <w:r w:rsidRPr="006E4894">
              <w:rPr>
                <w:rFonts w:cs="Calibri"/>
                <w:iCs/>
              </w:rPr>
              <w:t>16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</w:tcPr>
          <w:p w:rsidR="00A2589B" w:rsidRPr="006E4894" w:rsidRDefault="00A2589B" w:rsidP="00405DC8">
            <w:pPr>
              <w:tabs>
                <w:tab w:val="left" w:pos="2295"/>
              </w:tabs>
              <w:spacing w:after="0"/>
              <w:rPr>
                <w:rFonts w:cs="Calibri"/>
              </w:rPr>
            </w:pPr>
            <w:r w:rsidRPr="006E4894">
              <w:rPr>
                <w:rFonts w:cs="Calibri"/>
              </w:rPr>
              <w:t>93</w:t>
            </w:r>
          </w:p>
        </w:tc>
      </w:tr>
      <w:tr w:rsidR="006E4894" w:rsidRPr="006E4894" w:rsidTr="00405DC8">
        <w:trPr>
          <w:jc w:val="center"/>
        </w:trPr>
        <w:tc>
          <w:tcPr>
            <w:tcW w:w="1836" w:type="dxa"/>
            <w:tcBorders>
              <w:right w:val="nil"/>
            </w:tcBorders>
            <w:shd w:val="clear" w:color="auto" w:fill="auto"/>
            <w:vAlign w:val="center"/>
          </w:tcPr>
          <w:p w:rsidR="00A2589B" w:rsidRPr="006E4894" w:rsidRDefault="00A2589B" w:rsidP="006A13C2">
            <w:pPr>
              <w:spacing w:after="0"/>
              <w:jc w:val="center"/>
              <w:rPr>
                <w:rFonts w:cs="Calibri"/>
                <w:iCs/>
              </w:rPr>
            </w:pPr>
            <w:r w:rsidRPr="006E4894">
              <w:rPr>
                <w:rFonts w:cs="Calibri"/>
                <w:iCs/>
              </w:rPr>
              <w:t>3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vAlign w:val="center"/>
          </w:tcPr>
          <w:p w:rsidR="00A2589B" w:rsidRPr="006E4894" w:rsidRDefault="00A2589B" w:rsidP="00405DC8">
            <w:pPr>
              <w:spacing w:after="0"/>
              <w:jc w:val="center"/>
              <w:rPr>
                <w:rFonts w:cs="Calibri"/>
                <w:iCs/>
              </w:rPr>
            </w:pPr>
            <w:r w:rsidRPr="006E4894">
              <w:rPr>
                <w:rFonts w:cs="Calibri"/>
                <w:iCs/>
              </w:rPr>
              <w:t>60</w:t>
            </w:r>
          </w:p>
        </w:tc>
        <w:tc>
          <w:tcPr>
            <w:tcW w:w="1836" w:type="dxa"/>
            <w:tcBorders>
              <w:right w:val="nil"/>
            </w:tcBorders>
            <w:shd w:val="clear" w:color="auto" w:fill="auto"/>
            <w:vAlign w:val="center"/>
          </w:tcPr>
          <w:p w:rsidR="00A2589B" w:rsidRPr="006E4894" w:rsidRDefault="00A2589B" w:rsidP="006A13C2">
            <w:pPr>
              <w:spacing w:after="0"/>
              <w:jc w:val="center"/>
              <w:rPr>
                <w:rFonts w:cs="Calibri"/>
                <w:iCs/>
              </w:rPr>
            </w:pPr>
            <w:r w:rsidRPr="006E4894">
              <w:rPr>
                <w:rFonts w:cs="Calibri"/>
                <w:iCs/>
              </w:rPr>
              <w:t>10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vAlign w:val="center"/>
          </w:tcPr>
          <w:p w:rsidR="00A2589B" w:rsidRPr="006E4894" w:rsidRDefault="00A2589B" w:rsidP="006A13C2">
            <w:pPr>
              <w:spacing w:after="0"/>
              <w:jc w:val="center"/>
              <w:rPr>
                <w:rFonts w:cs="Calibri"/>
                <w:iCs/>
              </w:rPr>
            </w:pPr>
            <w:r w:rsidRPr="006E4894">
              <w:rPr>
                <w:rFonts w:cs="Calibri"/>
                <w:iCs/>
              </w:rPr>
              <w:t>77</w:t>
            </w:r>
          </w:p>
        </w:tc>
        <w:tc>
          <w:tcPr>
            <w:tcW w:w="1836" w:type="dxa"/>
            <w:tcBorders>
              <w:right w:val="nil"/>
            </w:tcBorders>
            <w:shd w:val="clear" w:color="auto" w:fill="auto"/>
            <w:vAlign w:val="center"/>
          </w:tcPr>
          <w:p w:rsidR="00A2589B" w:rsidRPr="006E4894" w:rsidRDefault="00A2589B" w:rsidP="006A13C2">
            <w:pPr>
              <w:spacing w:after="0"/>
              <w:jc w:val="center"/>
              <w:rPr>
                <w:rFonts w:cs="Calibri"/>
                <w:iCs/>
              </w:rPr>
            </w:pPr>
            <w:r w:rsidRPr="006E4894">
              <w:rPr>
                <w:rFonts w:cs="Calibri"/>
                <w:iCs/>
              </w:rPr>
              <w:t>17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</w:tcPr>
          <w:p w:rsidR="00A2589B" w:rsidRPr="006E4894" w:rsidRDefault="00A2589B" w:rsidP="00405DC8">
            <w:pPr>
              <w:tabs>
                <w:tab w:val="left" w:pos="2295"/>
              </w:tabs>
              <w:spacing w:after="0"/>
              <w:rPr>
                <w:rFonts w:cs="Calibri"/>
              </w:rPr>
            </w:pPr>
            <w:r w:rsidRPr="006E4894">
              <w:rPr>
                <w:rFonts w:cs="Calibri"/>
              </w:rPr>
              <w:t>94</w:t>
            </w:r>
          </w:p>
        </w:tc>
      </w:tr>
      <w:tr w:rsidR="006E4894" w:rsidRPr="006E4894" w:rsidTr="00405DC8">
        <w:trPr>
          <w:jc w:val="center"/>
        </w:trPr>
        <w:tc>
          <w:tcPr>
            <w:tcW w:w="1836" w:type="dxa"/>
            <w:tcBorders>
              <w:right w:val="nil"/>
            </w:tcBorders>
            <w:shd w:val="clear" w:color="auto" w:fill="auto"/>
            <w:vAlign w:val="center"/>
          </w:tcPr>
          <w:p w:rsidR="00A2589B" w:rsidRPr="006E4894" w:rsidRDefault="00A2589B" w:rsidP="006A13C2">
            <w:pPr>
              <w:spacing w:after="0"/>
              <w:jc w:val="center"/>
              <w:rPr>
                <w:rFonts w:cs="Calibri"/>
                <w:iCs/>
              </w:rPr>
            </w:pPr>
            <w:r w:rsidRPr="006E4894">
              <w:rPr>
                <w:rFonts w:cs="Calibri"/>
                <w:iCs/>
              </w:rPr>
              <w:t>4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vAlign w:val="center"/>
          </w:tcPr>
          <w:p w:rsidR="00A2589B" w:rsidRPr="006E4894" w:rsidRDefault="00A2589B" w:rsidP="00405DC8">
            <w:pPr>
              <w:spacing w:after="0"/>
              <w:jc w:val="center"/>
              <w:rPr>
                <w:rFonts w:cs="Calibri"/>
                <w:iCs/>
              </w:rPr>
            </w:pPr>
            <w:r w:rsidRPr="006E4894">
              <w:rPr>
                <w:rFonts w:cs="Calibri"/>
                <w:iCs/>
              </w:rPr>
              <w:t>70</w:t>
            </w:r>
          </w:p>
        </w:tc>
        <w:tc>
          <w:tcPr>
            <w:tcW w:w="1836" w:type="dxa"/>
            <w:tcBorders>
              <w:right w:val="nil"/>
            </w:tcBorders>
            <w:shd w:val="clear" w:color="auto" w:fill="auto"/>
            <w:vAlign w:val="center"/>
          </w:tcPr>
          <w:p w:rsidR="00A2589B" w:rsidRPr="006E4894" w:rsidRDefault="00A2589B" w:rsidP="006A13C2">
            <w:pPr>
              <w:spacing w:after="0"/>
              <w:jc w:val="center"/>
              <w:rPr>
                <w:rFonts w:cs="Calibri"/>
                <w:iCs/>
              </w:rPr>
            </w:pPr>
            <w:r w:rsidRPr="006E4894">
              <w:rPr>
                <w:rFonts w:cs="Calibri"/>
                <w:iCs/>
              </w:rPr>
              <w:t>11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vAlign w:val="center"/>
          </w:tcPr>
          <w:p w:rsidR="00A2589B" w:rsidRPr="006E4894" w:rsidRDefault="00A2589B" w:rsidP="006A13C2">
            <w:pPr>
              <w:spacing w:after="0"/>
              <w:jc w:val="center"/>
              <w:rPr>
                <w:rFonts w:cs="Calibri"/>
                <w:iCs/>
              </w:rPr>
            </w:pPr>
            <w:r w:rsidRPr="006E4894">
              <w:rPr>
                <w:rFonts w:cs="Calibri"/>
                <w:iCs/>
              </w:rPr>
              <w:t>80</w:t>
            </w:r>
          </w:p>
        </w:tc>
        <w:tc>
          <w:tcPr>
            <w:tcW w:w="1836" w:type="dxa"/>
            <w:tcBorders>
              <w:right w:val="nil"/>
            </w:tcBorders>
            <w:shd w:val="clear" w:color="auto" w:fill="auto"/>
            <w:vAlign w:val="center"/>
          </w:tcPr>
          <w:p w:rsidR="00A2589B" w:rsidRPr="006E4894" w:rsidRDefault="00A2589B" w:rsidP="006A13C2">
            <w:pPr>
              <w:spacing w:after="0"/>
              <w:jc w:val="center"/>
              <w:rPr>
                <w:rFonts w:cs="Calibri"/>
                <w:iCs/>
              </w:rPr>
            </w:pPr>
            <w:r w:rsidRPr="006E4894">
              <w:rPr>
                <w:rFonts w:cs="Calibri"/>
                <w:iCs/>
              </w:rPr>
              <w:t>18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</w:tcPr>
          <w:p w:rsidR="00A2589B" w:rsidRPr="006E4894" w:rsidRDefault="00A2589B" w:rsidP="00405DC8">
            <w:pPr>
              <w:tabs>
                <w:tab w:val="left" w:pos="2295"/>
              </w:tabs>
              <w:spacing w:after="0"/>
              <w:rPr>
                <w:rFonts w:cs="Calibri"/>
              </w:rPr>
            </w:pPr>
            <w:r w:rsidRPr="006E4894">
              <w:rPr>
                <w:rFonts w:cs="Calibri"/>
              </w:rPr>
              <w:t>96</w:t>
            </w:r>
          </w:p>
        </w:tc>
      </w:tr>
      <w:tr w:rsidR="006E4894" w:rsidRPr="006E4894" w:rsidTr="00405DC8">
        <w:trPr>
          <w:jc w:val="center"/>
        </w:trPr>
        <w:tc>
          <w:tcPr>
            <w:tcW w:w="1836" w:type="dxa"/>
            <w:tcBorders>
              <w:right w:val="nil"/>
            </w:tcBorders>
            <w:shd w:val="clear" w:color="auto" w:fill="auto"/>
            <w:vAlign w:val="center"/>
          </w:tcPr>
          <w:p w:rsidR="00A2589B" w:rsidRPr="006E4894" w:rsidRDefault="00A2589B" w:rsidP="006A13C2">
            <w:pPr>
              <w:spacing w:after="0"/>
              <w:jc w:val="center"/>
              <w:rPr>
                <w:rFonts w:cs="Calibri"/>
                <w:iCs/>
              </w:rPr>
            </w:pPr>
            <w:r w:rsidRPr="006E4894">
              <w:rPr>
                <w:rFonts w:cs="Calibri"/>
                <w:iCs/>
              </w:rPr>
              <w:t>5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vAlign w:val="center"/>
          </w:tcPr>
          <w:p w:rsidR="00A2589B" w:rsidRPr="006E4894" w:rsidRDefault="00A2589B" w:rsidP="00405DC8">
            <w:pPr>
              <w:spacing w:after="0"/>
              <w:jc w:val="center"/>
              <w:rPr>
                <w:rFonts w:cs="Calibri"/>
                <w:iCs/>
              </w:rPr>
            </w:pPr>
            <w:r w:rsidRPr="006E4894">
              <w:rPr>
                <w:rFonts w:cs="Calibri"/>
                <w:iCs/>
              </w:rPr>
              <w:t>71</w:t>
            </w:r>
          </w:p>
        </w:tc>
        <w:tc>
          <w:tcPr>
            <w:tcW w:w="1836" w:type="dxa"/>
            <w:tcBorders>
              <w:right w:val="nil"/>
            </w:tcBorders>
            <w:shd w:val="clear" w:color="auto" w:fill="auto"/>
            <w:vAlign w:val="center"/>
          </w:tcPr>
          <w:p w:rsidR="00A2589B" w:rsidRPr="006E4894" w:rsidRDefault="00A2589B" w:rsidP="006A13C2">
            <w:pPr>
              <w:spacing w:after="0"/>
              <w:jc w:val="center"/>
              <w:rPr>
                <w:rFonts w:cs="Calibri"/>
                <w:iCs/>
              </w:rPr>
            </w:pPr>
            <w:r w:rsidRPr="006E4894">
              <w:rPr>
                <w:rFonts w:cs="Calibri"/>
                <w:iCs/>
              </w:rPr>
              <w:t>12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vAlign w:val="center"/>
          </w:tcPr>
          <w:p w:rsidR="00A2589B" w:rsidRPr="006E4894" w:rsidRDefault="00A2589B" w:rsidP="006A13C2">
            <w:pPr>
              <w:spacing w:after="0"/>
              <w:jc w:val="center"/>
              <w:rPr>
                <w:rFonts w:cs="Calibri"/>
                <w:iCs/>
              </w:rPr>
            </w:pPr>
            <w:r w:rsidRPr="006E4894">
              <w:rPr>
                <w:rFonts w:cs="Calibri"/>
                <w:iCs/>
              </w:rPr>
              <w:t>84</w:t>
            </w:r>
          </w:p>
        </w:tc>
        <w:tc>
          <w:tcPr>
            <w:tcW w:w="1836" w:type="dxa"/>
            <w:tcBorders>
              <w:right w:val="nil"/>
            </w:tcBorders>
            <w:shd w:val="clear" w:color="auto" w:fill="auto"/>
            <w:vAlign w:val="center"/>
          </w:tcPr>
          <w:p w:rsidR="00A2589B" w:rsidRPr="006E4894" w:rsidRDefault="00A2589B" w:rsidP="006A13C2">
            <w:pPr>
              <w:spacing w:after="0"/>
              <w:jc w:val="center"/>
              <w:rPr>
                <w:rFonts w:cs="Calibri"/>
                <w:iCs/>
              </w:rPr>
            </w:pPr>
            <w:r w:rsidRPr="006E4894">
              <w:rPr>
                <w:rFonts w:cs="Calibri"/>
                <w:iCs/>
              </w:rPr>
              <w:t>19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</w:tcPr>
          <w:p w:rsidR="00A2589B" w:rsidRPr="006E4894" w:rsidRDefault="00A2589B" w:rsidP="00405DC8">
            <w:pPr>
              <w:tabs>
                <w:tab w:val="left" w:pos="2295"/>
              </w:tabs>
              <w:spacing w:after="0"/>
              <w:rPr>
                <w:rFonts w:cs="Calibri"/>
              </w:rPr>
            </w:pPr>
            <w:r w:rsidRPr="006E4894">
              <w:rPr>
                <w:rFonts w:cs="Calibri"/>
              </w:rPr>
              <w:t>98</w:t>
            </w:r>
          </w:p>
        </w:tc>
      </w:tr>
      <w:tr w:rsidR="006E4894" w:rsidRPr="006E4894" w:rsidTr="00405DC8">
        <w:trPr>
          <w:jc w:val="center"/>
        </w:trPr>
        <w:tc>
          <w:tcPr>
            <w:tcW w:w="1836" w:type="dxa"/>
            <w:tcBorders>
              <w:right w:val="nil"/>
            </w:tcBorders>
            <w:shd w:val="clear" w:color="auto" w:fill="auto"/>
            <w:vAlign w:val="center"/>
          </w:tcPr>
          <w:p w:rsidR="00A2589B" w:rsidRPr="006E4894" w:rsidRDefault="00A2589B" w:rsidP="006A13C2">
            <w:pPr>
              <w:spacing w:after="0"/>
              <w:jc w:val="center"/>
              <w:rPr>
                <w:rFonts w:cs="Calibri"/>
                <w:iCs/>
              </w:rPr>
            </w:pPr>
            <w:r w:rsidRPr="006E4894">
              <w:rPr>
                <w:rFonts w:cs="Calibri"/>
                <w:iCs/>
              </w:rPr>
              <w:t>6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vAlign w:val="center"/>
          </w:tcPr>
          <w:p w:rsidR="00A2589B" w:rsidRPr="006E4894" w:rsidRDefault="00A2589B" w:rsidP="006A13C2">
            <w:pPr>
              <w:spacing w:after="0"/>
              <w:jc w:val="center"/>
              <w:rPr>
                <w:rFonts w:cs="Calibri"/>
                <w:iCs/>
              </w:rPr>
            </w:pPr>
            <w:r w:rsidRPr="006E4894">
              <w:rPr>
                <w:rFonts w:cs="Calibri"/>
                <w:iCs/>
              </w:rPr>
              <w:t>72</w:t>
            </w:r>
          </w:p>
        </w:tc>
        <w:tc>
          <w:tcPr>
            <w:tcW w:w="1836" w:type="dxa"/>
            <w:tcBorders>
              <w:right w:val="nil"/>
            </w:tcBorders>
            <w:shd w:val="clear" w:color="auto" w:fill="auto"/>
            <w:vAlign w:val="center"/>
          </w:tcPr>
          <w:p w:rsidR="00A2589B" w:rsidRPr="006E4894" w:rsidRDefault="00A2589B" w:rsidP="006A13C2">
            <w:pPr>
              <w:spacing w:after="0"/>
              <w:jc w:val="center"/>
              <w:rPr>
                <w:rFonts w:cs="Calibri"/>
                <w:iCs/>
              </w:rPr>
            </w:pPr>
            <w:r w:rsidRPr="006E4894">
              <w:rPr>
                <w:rFonts w:cs="Calibri"/>
                <w:iCs/>
              </w:rPr>
              <w:t>13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  <w:vAlign w:val="center"/>
          </w:tcPr>
          <w:p w:rsidR="00A2589B" w:rsidRPr="006E4894" w:rsidRDefault="00A2589B" w:rsidP="006A13C2">
            <w:pPr>
              <w:spacing w:after="0"/>
              <w:jc w:val="center"/>
              <w:rPr>
                <w:rFonts w:cs="Calibri"/>
                <w:iCs/>
              </w:rPr>
            </w:pPr>
            <w:r w:rsidRPr="006E4894">
              <w:rPr>
                <w:rFonts w:cs="Calibri"/>
                <w:iCs/>
              </w:rPr>
              <w:t>86</w:t>
            </w:r>
          </w:p>
        </w:tc>
        <w:tc>
          <w:tcPr>
            <w:tcW w:w="1836" w:type="dxa"/>
            <w:tcBorders>
              <w:right w:val="nil"/>
            </w:tcBorders>
            <w:shd w:val="clear" w:color="auto" w:fill="auto"/>
            <w:vAlign w:val="center"/>
          </w:tcPr>
          <w:p w:rsidR="00A2589B" w:rsidRPr="006E4894" w:rsidRDefault="00A2589B" w:rsidP="006A13C2">
            <w:pPr>
              <w:spacing w:after="0"/>
              <w:jc w:val="center"/>
              <w:rPr>
                <w:rFonts w:cs="Calibri"/>
                <w:iCs/>
              </w:rPr>
            </w:pPr>
            <w:r w:rsidRPr="006E4894">
              <w:rPr>
                <w:rFonts w:cs="Calibri"/>
                <w:iCs/>
              </w:rPr>
              <w:t>20</w:t>
            </w:r>
          </w:p>
        </w:tc>
        <w:tc>
          <w:tcPr>
            <w:tcW w:w="1836" w:type="dxa"/>
            <w:tcBorders>
              <w:left w:val="nil"/>
            </w:tcBorders>
            <w:shd w:val="clear" w:color="auto" w:fill="auto"/>
          </w:tcPr>
          <w:p w:rsidR="00A2589B" w:rsidRPr="006E4894" w:rsidRDefault="00A2589B" w:rsidP="00405DC8">
            <w:pPr>
              <w:tabs>
                <w:tab w:val="left" w:pos="2295"/>
              </w:tabs>
              <w:spacing w:after="0"/>
              <w:rPr>
                <w:rFonts w:cs="Calibri"/>
              </w:rPr>
            </w:pPr>
            <w:r w:rsidRPr="006E4894">
              <w:rPr>
                <w:rFonts w:cs="Calibri"/>
              </w:rPr>
              <w:t>100</w:t>
            </w:r>
          </w:p>
        </w:tc>
      </w:tr>
    </w:tbl>
    <w:p w:rsidR="006E4894" w:rsidRPr="006E4894" w:rsidRDefault="006E4894" w:rsidP="003553A6">
      <w:pPr>
        <w:tabs>
          <w:tab w:val="left" w:pos="2295"/>
        </w:tabs>
        <w:spacing w:after="0"/>
        <w:rPr>
          <w:rFonts w:cs="Calibri"/>
          <w:b/>
        </w:rPr>
      </w:pPr>
    </w:p>
    <w:p w:rsidR="00CA3097" w:rsidRPr="006E4894" w:rsidRDefault="00CA3097" w:rsidP="00CA3097">
      <w:pPr>
        <w:spacing w:after="0"/>
        <w:rPr>
          <w:rFonts w:cs="Calibri"/>
        </w:rPr>
      </w:pPr>
    </w:p>
    <w:sectPr w:rsidR="00CA3097" w:rsidRPr="006E4894" w:rsidSect="005B553F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F73" w:rsidRDefault="008C0F73" w:rsidP="00EE61AC">
      <w:pPr>
        <w:spacing w:after="0"/>
      </w:pPr>
      <w:r>
        <w:separator/>
      </w:r>
    </w:p>
  </w:endnote>
  <w:endnote w:type="continuationSeparator" w:id="0">
    <w:p w:rsidR="008C0F73" w:rsidRDefault="008C0F73" w:rsidP="00EE61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73" w:rsidRDefault="008C0F73" w:rsidP="005B553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38EB">
      <w:rPr>
        <w:noProof/>
      </w:rPr>
      <w:t>1</w:t>
    </w:r>
    <w:r>
      <w:rPr>
        <w:noProof/>
      </w:rPr>
      <w:fldChar w:fldCharType="end"/>
    </w:r>
  </w:p>
  <w:p w:rsidR="008C0F73" w:rsidRDefault="008C0F73" w:rsidP="005B553F">
    <w:pPr>
      <w:pStyle w:val="Footer"/>
    </w:pPr>
  </w:p>
  <w:p w:rsidR="008C0F73" w:rsidRPr="005B553F" w:rsidRDefault="008C0F73" w:rsidP="005B55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F73" w:rsidRDefault="008C0F73" w:rsidP="00EE61AC">
      <w:pPr>
        <w:spacing w:after="0"/>
      </w:pPr>
      <w:r>
        <w:separator/>
      </w:r>
    </w:p>
  </w:footnote>
  <w:footnote w:type="continuationSeparator" w:id="0">
    <w:p w:rsidR="008C0F73" w:rsidRDefault="008C0F73" w:rsidP="00EE61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95pt;height:10.95pt" o:bullet="t">
        <v:imagedata r:id="rId1" o:title="mso26"/>
      </v:shape>
    </w:pict>
  </w:numPicBullet>
  <w:abstractNum w:abstractNumId="0" w15:restartNumberingAfterBreak="0">
    <w:nsid w:val="FFFFFF1D"/>
    <w:multiLevelType w:val="multilevel"/>
    <w:tmpl w:val="219CC4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50862"/>
    <w:multiLevelType w:val="multilevel"/>
    <w:tmpl w:val="824C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91F45"/>
    <w:multiLevelType w:val="hybridMultilevel"/>
    <w:tmpl w:val="B93CA3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F2FCB"/>
    <w:multiLevelType w:val="multilevel"/>
    <w:tmpl w:val="823A75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587B4D"/>
    <w:multiLevelType w:val="hybridMultilevel"/>
    <w:tmpl w:val="755E1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C10FA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" w15:restartNumberingAfterBreak="0">
    <w:nsid w:val="13F00071"/>
    <w:multiLevelType w:val="multilevel"/>
    <w:tmpl w:val="47A88BB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822565"/>
    <w:multiLevelType w:val="hybridMultilevel"/>
    <w:tmpl w:val="D3CA8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74053"/>
    <w:multiLevelType w:val="hybridMultilevel"/>
    <w:tmpl w:val="DBA26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B38E4"/>
    <w:multiLevelType w:val="hybridMultilevel"/>
    <w:tmpl w:val="7EB4524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C922D0"/>
    <w:multiLevelType w:val="hybridMultilevel"/>
    <w:tmpl w:val="5E1A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405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37D59"/>
    <w:multiLevelType w:val="hybridMultilevel"/>
    <w:tmpl w:val="E7FC453E"/>
    <w:lvl w:ilvl="0" w:tplc="A1FA92D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5FF5FA5"/>
    <w:multiLevelType w:val="hybridMultilevel"/>
    <w:tmpl w:val="F6465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040EF"/>
    <w:multiLevelType w:val="hybridMultilevel"/>
    <w:tmpl w:val="C3727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81F47"/>
    <w:multiLevelType w:val="hybridMultilevel"/>
    <w:tmpl w:val="3F783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71E8A"/>
    <w:multiLevelType w:val="hybridMultilevel"/>
    <w:tmpl w:val="75885856"/>
    <w:lvl w:ilvl="0" w:tplc="12DA8ACC">
      <w:start w:val="1"/>
      <w:numFmt w:val="bullet"/>
      <w:lvlText w:val="R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D5C07"/>
    <w:multiLevelType w:val="hybridMultilevel"/>
    <w:tmpl w:val="CC849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41604"/>
    <w:multiLevelType w:val="hybridMultilevel"/>
    <w:tmpl w:val="F59E6DB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0F0A02"/>
    <w:multiLevelType w:val="hybridMultilevel"/>
    <w:tmpl w:val="32346C5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7671A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AE93CD6"/>
    <w:multiLevelType w:val="hybridMultilevel"/>
    <w:tmpl w:val="F4309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7587A"/>
    <w:multiLevelType w:val="hybridMultilevel"/>
    <w:tmpl w:val="2A020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F765A"/>
    <w:multiLevelType w:val="hybridMultilevel"/>
    <w:tmpl w:val="F4DC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3E53D8">
      <w:numFmt w:val="bullet"/>
      <w:lvlText w:val="•"/>
      <w:lvlJc w:val="left"/>
      <w:pPr>
        <w:ind w:left="2205" w:hanging="405"/>
      </w:pPr>
      <w:rPr>
        <w:rFonts w:ascii="Calibri" w:eastAsia="Calibr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32957"/>
    <w:multiLevelType w:val="hybridMultilevel"/>
    <w:tmpl w:val="C54ECBD8"/>
    <w:lvl w:ilvl="0" w:tplc="BBC62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9749F"/>
    <w:multiLevelType w:val="hybridMultilevel"/>
    <w:tmpl w:val="BF163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A62BA"/>
    <w:multiLevelType w:val="hybridMultilevel"/>
    <w:tmpl w:val="5F6C0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DC0B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C552D96"/>
    <w:multiLevelType w:val="hybridMultilevel"/>
    <w:tmpl w:val="8C808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F29BD"/>
    <w:multiLevelType w:val="hybridMultilevel"/>
    <w:tmpl w:val="02C6B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381E57"/>
    <w:multiLevelType w:val="hybridMultilevel"/>
    <w:tmpl w:val="317CB7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18E7CCA"/>
    <w:multiLevelType w:val="hybridMultilevel"/>
    <w:tmpl w:val="3F12F4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123FE"/>
    <w:multiLevelType w:val="hybridMultilevel"/>
    <w:tmpl w:val="34506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C2F9C"/>
    <w:multiLevelType w:val="hybridMultilevel"/>
    <w:tmpl w:val="3D8C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B0A2A"/>
    <w:multiLevelType w:val="hybridMultilevel"/>
    <w:tmpl w:val="1186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A15AC"/>
    <w:multiLevelType w:val="hybridMultilevel"/>
    <w:tmpl w:val="3FC01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6D7835"/>
    <w:multiLevelType w:val="hybridMultilevel"/>
    <w:tmpl w:val="B68CB7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405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A6659"/>
    <w:multiLevelType w:val="hybridMultilevel"/>
    <w:tmpl w:val="873C6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DF10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8931824"/>
    <w:multiLevelType w:val="hybridMultilevel"/>
    <w:tmpl w:val="ABEAD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B47DB"/>
    <w:multiLevelType w:val="multilevel"/>
    <w:tmpl w:val="AC02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D06ED8"/>
    <w:multiLevelType w:val="hybridMultilevel"/>
    <w:tmpl w:val="ED6A8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C2366"/>
    <w:multiLevelType w:val="hybridMultilevel"/>
    <w:tmpl w:val="6364493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CD42100"/>
    <w:multiLevelType w:val="hybridMultilevel"/>
    <w:tmpl w:val="013CB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92F2C"/>
    <w:multiLevelType w:val="hybridMultilevel"/>
    <w:tmpl w:val="D9AAF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28"/>
  </w:num>
  <w:num w:numId="4">
    <w:abstractNumId w:val="4"/>
  </w:num>
  <w:num w:numId="5">
    <w:abstractNumId w:val="20"/>
  </w:num>
  <w:num w:numId="6">
    <w:abstractNumId w:val="16"/>
  </w:num>
  <w:num w:numId="7">
    <w:abstractNumId w:val="34"/>
  </w:num>
  <w:num w:numId="8">
    <w:abstractNumId w:val="42"/>
  </w:num>
  <w:num w:numId="9">
    <w:abstractNumId w:val="14"/>
  </w:num>
  <w:num w:numId="10">
    <w:abstractNumId w:val="7"/>
  </w:num>
  <w:num w:numId="11">
    <w:abstractNumId w:val="40"/>
  </w:num>
  <w:num w:numId="12">
    <w:abstractNumId w:val="25"/>
  </w:num>
  <w:num w:numId="13">
    <w:abstractNumId w:val="31"/>
  </w:num>
  <w:num w:numId="14">
    <w:abstractNumId w:val="24"/>
  </w:num>
  <w:num w:numId="15">
    <w:abstractNumId w:val="27"/>
  </w:num>
  <w:num w:numId="16">
    <w:abstractNumId w:val="13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</w:num>
  <w:num w:numId="23">
    <w:abstractNumId w:val="5"/>
  </w:num>
  <w:num w:numId="24">
    <w:abstractNumId w:val="22"/>
  </w:num>
  <w:num w:numId="25">
    <w:abstractNumId w:val="37"/>
  </w:num>
  <w:num w:numId="26">
    <w:abstractNumId w:val="19"/>
  </w:num>
  <w:num w:numId="27">
    <w:abstractNumId w:val="17"/>
  </w:num>
  <w:num w:numId="28">
    <w:abstractNumId w:val="9"/>
  </w:num>
  <w:num w:numId="29">
    <w:abstractNumId w:val="30"/>
  </w:num>
  <w:num w:numId="30">
    <w:abstractNumId w:val="12"/>
  </w:num>
  <w:num w:numId="31">
    <w:abstractNumId w:val="21"/>
  </w:num>
  <w:num w:numId="32">
    <w:abstractNumId w:val="26"/>
  </w:num>
  <w:num w:numId="33">
    <w:abstractNumId w:val="18"/>
  </w:num>
  <w:num w:numId="34">
    <w:abstractNumId w:val="6"/>
  </w:num>
  <w:num w:numId="35">
    <w:abstractNumId w:val="3"/>
  </w:num>
  <w:num w:numId="36">
    <w:abstractNumId w:val="36"/>
  </w:num>
  <w:num w:numId="37">
    <w:abstractNumId w:val="10"/>
  </w:num>
  <w:num w:numId="38">
    <w:abstractNumId w:val="35"/>
  </w:num>
  <w:num w:numId="39">
    <w:abstractNumId w:val="39"/>
  </w:num>
  <w:num w:numId="40">
    <w:abstractNumId w:val="1"/>
  </w:num>
  <w:num w:numId="41">
    <w:abstractNumId w:val="43"/>
  </w:num>
  <w:num w:numId="42">
    <w:abstractNumId w:val="15"/>
  </w:num>
  <w:num w:numId="43">
    <w:abstractNumId w:val="38"/>
  </w:num>
  <w:num w:numId="44">
    <w:abstractNumId w:val="0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B7"/>
    <w:rsid w:val="00007AFB"/>
    <w:rsid w:val="00027DF2"/>
    <w:rsid w:val="00043D48"/>
    <w:rsid w:val="00072329"/>
    <w:rsid w:val="00096553"/>
    <w:rsid w:val="000E11CA"/>
    <w:rsid w:val="00171C6F"/>
    <w:rsid w:val="00184C01"/>
    <w:rsid w:val="001951FA"/>
    <w:rsid w:val="001A6823"/>
    <w:rsid w:val="001C3D2E"/>
    <w:rsid w:val="001E2E22"/>
    <w:rsid w:val="0020145C"/>
    <w:rsid w:val="00232848"/>
    <w:rsid w:val="002330FF"/>
    <w:rsid w:val="002671C9"/>
    <w:rsid w:val="00277532"/>
    <w:rsid w:val="002B01D1"/>
    <w:rsid w:val="002B56E9"/>
    <w:rsid w:val="002B6EA7"/>
    <w:rsid w:val="002D3396"/>
    <w:rsid w:val="002D61D4"/>
    <w:rsid w:val="002F0FBF"/>
    <w:rsid w:val="002F531F"/>
    <w:rsid w:val="002F5E6F"/>
    <w:rsid w:val="003553A6"/>
    <w:rsid w:val="003746FA"/>
    <w:rsid w:val="00377B06"/>
    <w:rsid w:val="0038019E"/>
    <w:rsid w:val="003C3B4D"/>
    <w:rsid w:val="003C6914"/>
    <w:rsid w:val="003D328C"/>
    <w:rsid w:val="003E0B3A"/>
    <w:rsid w:val="003E168D"/>
    <w:rsid w:val="003E2D9E"/>
    <w:rsid w:val="003E2EB0"/>
    <w:rsid w:val="003E437D"/>
    <w:rsid w:val="00400453"/>
    <w:rsid w:val="00405DC8"/>
    <w:rsid w:val="00423A1A"/>
    <w:rsid w:val="004313BA"/>
    <w:rsid w:val="004325AD"/>
    <w:rsid w:val="00497DBA"/>
    <w:rsid w:val="004B37F7"/>
    <w:rsid w:val="004B6955"/>
    <w:rsid w:val="00501088"/>
    <w:rsid w:val="00506B17"/>
    <w:rsid w:val="0053203D"/>
    <w:rsid w:val="00572952"/>
    <w:rsid w:val="00586608"/>
    <w:rsid w:val="005B38EB"/>
    <w:rsid w:val="005B553F"/>
    <w:rsid w:val="005C1A7F"/>
    <w:rsid w:val="005E11DA"/>
    <w:rsid w:val="00620723"/>
    <w:rsid w:val="00643610"/>
    <w:rsid w:val="006445DD"/>
    <w:rsid w:val="006448B7"/>
    <w:rsid w:val="00662570"/>
    <w:rsid w:val="00676808"/>
    <w:rsid w:val="006A13C2"/>
    <w:rsid w:val="006A464E"/>
    <w:rsid w:val="006C629D"/>
    <w:rsid w:val="006D6B47"/>
    <w:rsid w:val="006E4894"/>
    <w:rsid w:val="006E56D8"/>
    <w:rsid w:val="006F2811"/>
    <w:rsid w:val="00742DB8"/>
    <w:rsid w:val="007E171D"/>
    <w:rsid w:val="008305F7"/>
    <w:rsid w:val="008465E3"/>
    <w:rsid w:val="00846C67"/>
    <w:rsid w:val="00864A13"/>
    <w:rsid w:val="00880081"/>
    <w:rsid w:val="0088664D"/>
    <w:rsid w:val="008A4EFE"/>
    <w:rsid w:val="008C0F73"/>
    <w:rsid w:val="008D142E"/>
    <w:rsid w:val="00917065"/>
    <w:rsid w:val="00931A3B"/>
    <w:rsid w:val="009469E7"/>
    <w:rsid w:val="009711D7"/>
    <w:rsid w:val="009905C8"/>
    <w:rsid w:val="009B1596"/>
    <w:rsid w:val="00A13362"/>
    <w:rsid w:val="00A21844"/>
    <w:rsid w:val="00A2589B"/>
    <w:rsid w:val="00A40731"/>
    <w:rsid w:val="00A765A5"/>
    <w:rsid w:val="00A86CD8"/>
    <w:rsid w:val="00AA33DE"/>
    <w:rsid w:val="00AC1593"/>
    <w:rsid w:val="00AE4546"/>
    <w:rsid w:val="00AE7359"/>
    <w:rsid w:val="00B3156E"/>
    <w:rsid w:val="00B46EEE"/>
    <w:rsid w:val="00B47DEC"/>
    <w:rsid w:val="00B77AD4"/>
    <w:rsid w:val="00B91CEA"/>
    <w:rsid w:val="00C52DB5"/>
    <w:rsid w:val="00C6531E"/>
    <w:rsid w:val="00CA3097"/>
    <w:rsid w:val="00CD7B8D"/>
    <w:rsid w:val="00CE39A1"/>
    <w:rsid w:val="00CF56DE"/>
    <w:rsid w:val="00D0044C"/>
    <w:rsid w:val="00D173B8"/>
    <w:rsid w:val="00D3366A"/>
    <w:rsid w:val="00D52D8B"/>
    <w:rsid w:val="00D73458"/>
    <w:rsid w:val="00D94F6C"/>
    <w:rsid w:val="00DE6214"/>
    <w:rsid w:val="00DF3FD0"/>
    <w:rsid w:val="00DF7207"/>
    <w:rsid w:val="00E05EA0"/>
    <w:rsid w:val="00E20E07"/>
    <w:rsid w:val="00E33439"/>
    <w:rsid w:val="00E344CD"/>
    <w:rsid w:val="00E4481A"/>
    <w:rsid w:val="00E57B2F"/>
    <w:rsid w:val="00E67A80"/>
    <w:rsid w:val="00EC7B57"/>
    <w:rsid w:val="00EE61AC"/>
    <w:rsid w:val="00EF0380"/>
    <w:rsid w:val="00F16203"/>
    <w:rsid w:val="00F25DD4"/>
    <w:rsid w:val="00F575C3"/>
    <w:rsid w:val="00F64938"/>
    <w:rsid w:val="00F715CE"/>
    <w:rsid w:val="00F733F1"/>
    <w:rsid w:val="00FC152B"/>
    <w:rsid w:val="00FC58DC"/>
    <w:rsid w:val="00FE5C4A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41D2130-7344-483B-A834-789592E4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31F"/>
    <w:pPr>
      <w:spacing w:after="200"/>
    </w:pPr>
    <w:rPr>
      <w:sz w:val="22"/>
      <w:szCs w:val="22"/>
    </w:rPr>
  </w:style>
  <w:style w:type="paragraph" w:styleId="Heading3">
    <w:name w:val="heading 3"/>
    <w:basedOn w:val="Normal"/>
    <w:link w:val="Heading3Char"/>
    <w:qFormat/>
    <w:rsid w:val="002D3396"/>
    <w:pPr>
      <w:spacing w:before="100" w:beforeAutospacing="1" w:after="100" w:afterAutospacing="1"/>
      <w:outlineLvl w:val="2"/>
    </w:pPr>
    <w:rPr>
      <w:rFonts w:ascii="droid sans" w:eastAsia="Times New Roman" w:hAnsi="droid sans"/>
      <w:b/>
      <w:bCs/>
      <w:color w:val="003366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D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61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E61AC"/>
  </w:style>
  <w:style w:type="paragraph" w:styleId="Footer">
    <w:name w:val="footer"/>
    <w:basedOn w:val="Normal"/>
    <w:link w:val="FooterChar"/>
    <w:uiPriority w:val="99"/>
    <w:unhideWhenUsed/>
    <w:rsid w:val="00EE61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61AC"/>
  </w:style>
  <w:style w:type="character" w:styleId="Hyperlink">
    <w:name w:val="Hyperlink"/>
    <w:uiPriority w:val="99"/>
    <w:unhideWhenUsed/>
    <w:rsid w:val="00EE61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3A6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553A6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2D3396"/>
    <w:rPr>
      <w:rFonts w:ascii="droid sans" w:eastAsia="Times New Roman" w:hAnsi="droid sans"/>
      <w:b/>
      <w:bCs/>
      <w:color w:val="003366"/>
      <w:sz w:val="31"/>
      <w:szCs w:val="31"/>
    </w:rPr>
  </w:style>
  <w:style w:type="paragraph" w:customStyle="1" w:styleId="Default">
    <w:name w:val="Default"/>
    <w:rsid w:val="002D339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NormalWeb">
    <w:name w:val="Normal (Web)"/>
    <w:basedOn w:val="Normal"/>
    <w:rsid w:val="002D3396"/>
    <w:pPr>
      <w:spacing w:before="100" w:beforeAutospacing="1" w:after="139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qFormat/>
    <w:rsid w:val="002D3396"/>
    <w:rPr>
      <w:i/>
      <w:iCs/>
    </w:rPr>
  </w:style>
  <w:style w:type="table" w:styleId="TableGrid">
    <w:name w:val="Table Grid"/>
    <w:basedOn w:val="TableNormal"/>
    <w:uiPriority w:val="59"/>
    <w:rsid w:val="00D94F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6304-A0E4-4B67-8FF3-D51E6D7D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7972</CharactersWithSpaces>
  <SharedDoc>false</SharedDoc>
  <HLinks>
    <vt:vector size="12" baseType="variant">
      <vt:variant>
        <vt:i4>5308476</vt:i4>
      </vt:variant>
      <vt:variant>
        <vt:i4>3</vt:i4>
      </vt:variant>
      <vt:variant>
        <vt:i4>0</vt:i4>
      </vt:variant>
      <vt:variant>
        <vt:i4>5</vt:i4>
      </vt:variant>
      <vt:variant>
        <vt:lpwstr>mailto:annaleighb.marquez@cms.k12.nc.us</vt:lpwstr>
      </vt:variant>
      <vt:variant>
        <vt:lpwstr/>
      </vt:variant>
      <vt:variant>
        <vt:i4>458776</vt:i4>
      </vt:variant>
      <vt:variant>
        <vt:i4>0</vt:i4>
      </vt:variant>
      <vt:variant>
        <vt:i4>0</vt:i4>
      </vt:variant>
      <vt:variant>
        <vt:i4>5</vt:i4>
      </vt:variant>
      <vt:variant>
        <vt:lpwstr>http://www.gwu.edu/~ntegrity/code.html</vt:lpwstr>
      </vt:variant>
      <vt:variant>
        <vt:lpwstr>definition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Leigh Marquez</dc:creator>
  <cp:keywords/>
  <cp:lastModifiedBy>Bufford, Chemier L.</cp:lastModifiedBy>
  <cp:revision>2</cp:revision>
  <cp:lastPrinted>2011-08-22T14:29:00Z</cp:lastPrinted>
  <dcterms:created xsi:type="dcterms:W3CDTF">2018-08-14T12:05:00Z</dcterms:created>
  <dcterms:modified xsi:type="dcterms:W3CDTF">2018-08-14T12:05:00Z</dcterms:modified>
</cp:coreProperties>
</file>